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7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260" w:right="679" w:hanging="3252"/>
        <w:spacing w:after="0" w:line="500" w:lineRule="auto"/>
        <w:tabs>
          <w:tab w:leader="none" w:pos="5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4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37" w:lineRule="exact"/>
        <w:rPr>
          <w:sz w:val="24"/>
          <w:szCs w:val="24"/>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1-9576</w:t>
      </w:r>
    </w:p>
    <w:p>
      <w:pPr>
        <w:spacing w:after="0" w:line="229" w:lineRule="exact"/>
        <w:rPr>
          <w:sz w:val="24"/>
          <w:szCs w:val="24"/>
          <w:color w:val="auto"/>
        </w:rPr>
      </w:pPr>
    </w:p>
    <w:p>
      <w:pPr>
        <w:ind w:left="820" w:hanging="554"/>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OWENS-ILLINOIS, INC. LONG-TERM SAVINGS PLAN</w:t>
      </w:r>
    </w:p>
    <w:p>
      <w:pPr>
        <w:spacing w:after="0" w:line="229" w:lineRule="exact"/>
        <w:rPr>
          <w:sz w:val="24"/>
          <w:szCs w:val="24"/>
          <w:color w:val="auto"/>
        </w:rPr>
      </w:pPr>
    </w:p>
    <w:p>
      <w:pPr>
        <w:ind w:left="800" w:hanging="534"/>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O-I GLASS, INC.</w:t>
      </w:r>
    </w:p>
    <w:p>
      <w:pPr>
        <w:spacing w:after="0" w:line="4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One Michael Owens Way</w:t>
      </w:r>
    </w:p>
    <w:p>
      <w:pPr>
        <w:spacing w:after="0" w:line="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Perrysburg, Ohio 43551-2999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708660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186055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r>
      <w:tr>
        <w:trPr>
          <w:trHeight w:val="758"/>
        </w:trPr>
        <w:tc>
          <w:tcPr>
            <w:tcW w:w="5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00" w:type="dxa"/>
            <w:vAlign w:val="bottom"/>
            <w:gridSpan w:val="3"/>
          </w:tcPr>
          <w:p>
            <w:pPr>
              <w:jc w:val="center"/>
              <w:ind w:right="2330"/>
              <w:spacing w:after="0"/>
              <w:rPr>
                <w:sz w:val="20"/>
                <w:szCs w:val="20"/>
                <w:color w:val="auto"/>
              </w:rPr>
            </w:pPr>
            <w:r>
              <w:rPr>
                <w:rFonts w:ascii="Times New Roman" w:cs="Times New Roman" w:eastAsia="Times New Roman" w:hAnsi="Times New Roman"/>
                <w:sz w:val="18"/>
                <w:szCs w:val="18"/>
                <w:color w:val="auto"/>
              </w:rPr>
              <w:t>Owens-Illinois, Inc.</w:t>
            </w:r>
          </w:p>
        </w:tc>
        <w:tc>
          <w:tcPr>
            <w:tcW w:w="18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80" w:type="dxa"/>
            <w:vAlign w:val="bottom"/>
            <w:gridSpan w:val="4"/>
          </w:tcPr>
          <w:p>
            <w:pPr>
              <w:jc w:val="center"/>
              <w:ind w:right="1550"/>
              <w:spacing w:after="0"/>
              <w:rPr>
                <w:sz w:val="20"/>
                <w:szCs w:val="20"/>
                <w:color w:val="auto"/>
              </w:rPr>
            </w:pPr>
            <w:r>
              <w:rPr>
                <w:rFonts w:ascii="Times New Roman" w:cs="Times New Roman" w:eastAsia="Times New Roman" w:hAnsi="Times New Roman"/>
                <w:sz w:val="18"/>
                <w:szCs w:val="18"/>
                <w:color w:val="auto"/>
                <w:w w:val="99"/>
              </w:rPr>
              <w:t>Long-Term Savings Plan</w:t>
            </w:r>
          </w:p>
        </w:tc>
        <w:tc>
          <w:tcPr>
            <w:tcW w:w="18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80" w:type="dxa"/>
            <w:vAlign w:val="bottom"/>
            <w:gridSpan w:val="4"/>
          </w:tcPr>
          <w:p>
            <w:pPr>
              <w:jc w:val="center"/>
              <w:ind w:right="153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18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80" w:type="dxa"/>
            <w:vAlign w:val="bottom"/>
            <w:gridSpan w:val="4"/>
          </w:tcPr>
          <w:p>
            <w:pPr>
              <w:jc w:val="center"/>
              <w:ind w:right="1550"/>
              <w:spacing w:after="0"/>
              <w:rPr>
                <w:sz w:val="20"/>
                <w:szCs w:val="20"/>
                <w:color w:val="auto"/>
              </w:rPr>
            </w:pPr>
            <w:r>
              <w:rPr>
                <w:rFonts w:ascii="Times New Roman" w:cs="Times New Roman" w:eastAsia="Times New Roman" w:hAnsi="Times New Roman"/>
                <w:sz w:val="18"/>
                <w:szCs w:val="18"/>
                <w:color w:val="auto"/>
                <w:w w:val="99"/>
              </w:rPr>
              <w:t>and Supplemental Schedule</w:t>
            </w:r>
          </w:p>
        </w:tc>
        <w:tc>
          <w:tcPr>
            <w:tcW w:w="18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6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color w:val="auto"/>
                <w:w w:val="99"/>
              </w:rPr>
              <w:t>Years ended December 31, 2025 and 2024</w:t>
            </w:r>
          </w:p>
        </w:tc>
        <w:tc>
          <w:tcPr>
            <w:tcW w:w="18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800" w:type="dxa"/>
            <w:vAlign w:val="bottom"/>
          </w:tcPr>
          <w:p>
            <w:pPr>
              <w:spacing w:after="0"/>
              <w:rPr>
                <w:sz w:val="24"/>
                <w:szCs w:val="24"/>
                <w:color w:val="auto"/>
              </w:rPr>
            </w:pPr>
          </w:p>
        </w:tc>
      </w:tr>
      <w:tr>
        <w:trPr>
          <w:trHeight w:val="621"/>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90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4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Changes in Net Assets Available for Benefits</w:t>
            </w:r>
          </w:p>
        </w:tc>
        <w:tc>
          <w:tcPr>
            <w:tcW w:w="382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53"/>
        </w:trPr>
        <w:tc>
          <w:tcPr>
            <w:tcW w:w="2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596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r>
      <w:tr>
        <w:trPr>
          <w:trHeight w:val="391"/>
        </w:trPr>
        <w:tc>
          <w:tcPr>
            <w:tcW w:w="4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Schedule H, Line 4i-Schedule of Assets (Held at End of Year)</w:t>
            </w:r>
          </w:p>
        </w:tc>
        <w:tc>
          <w:tcPr>
            <w:tcW w:w="36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Exhibit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458"/>
        </w:trPr>
        <w:tc>
          <w:tcPr>
            <w:tcW w:w="58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the Plan Administrator of Owens-Illinois, Inc. Long-Term Savings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Owens-Illinois, Inc. Long-Term Savings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Toledo,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investments of the Trust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323,573,707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290,146,879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17,460,987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18,192,982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341,821,172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308,339,861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investment gain of the Trust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47,448,162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due to notes receivable from participants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withdrawals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(52,012,669)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Administration fees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(257,561)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assets available for benefits prior to transfers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33,657,435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Plan to plan transfers-in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to plan transfers-out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available for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33,481,311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308,339,861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314,482,539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341,821,172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308,339,861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Description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Owens-Illinois, Inc. Long-Term Savings Plan (the “Plan”) was adopted by O-I Glass, Inc. (the “Company”) for the benefit of eligible U.S. hourly employees of the Company and certain of its subsidiaries and affiliates.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Plan’s investments are held in the Owens-Illinois, Inc. Master Savings Trust (the “Trust”) administered by the O-I Glass, Inc. Employee Benefits Committee (the “Committee”). Effective January 1, 2025, the Plan’s Trustee is Fidelity Management Trust Company (previously John Hancock) (the “Trustee”) and recordkeeping is managed by Fidelity Workplace Services LLC (previously John Hancock) (the “Recordkeeper”), along with the assets of another defined contribution plan of the Company.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is a defined contribution plan which provides eligible employees, upon completion of the required service period, the opportunity to make pretax, Roth, and/or after-tax contributions, in specific percentages, within guidelines established by the Company. Certain participants are auto enrolled 30 days after first becoming eligible to participate in the Plan in the amount of a 2% or 4% contribution of their compensation on a pretax basis, based on the facility in which the participant is employed. This deemed election will remain in effect until such time as the participant elects to change the percentage of compensation deferred to the Plan. If a participant is automatically enrolled or affirmatively elects to defer a portion of eligible earnings less than 8% or 20%, based on the facility in which the participant is employed, the participant’s deferral percentage will automatically be increased by 1% each year, unless the participant opts out of such increases or the participant’s deferral percentage has been increased to 8% or 20% of their compensation, based on the facility in which the participant is employed. Participant contributions are immediately fully vested and may be divided at the participant’s discretion among the various investment options from 1% to 100%, with no limit on the number of options selected. A participant may elect to change the percentage of compensation to be contributed each pay period; any such changes shall be effective on the next pay period.</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Based on the facility in which the participant is employed, the Company contributes to the Plan on behalf of each participant an amount equal to 25% or 50% of the participant’s pretax contributions each pay period, limited to 4% or 5% of such participant’s compensation received during that period. Also based on the facility in which the participant is employed, the Company contributes an Employer Base Contribution to the Plan of 3% of the participant’s compensation, or 4% to 5% of the participant’s compensation based on years of service. Finally, based on the facility in which the participant is employed, the Company contributes an additional amount based on a stipulated rate per hour. All Company contributions are specified by various labor contracts and are immediately fully vested. Company contributions may be invested in the O-I Glass, Inc. Company Stock Fund, however, participants are allowed to transfer Company contributions from the Company Stock Fund at any time. Company contributions not invested in the O-I Glass, Inc. Company stock fund are invested in accordance with the participant’s current choice of investment options. All contributions are subject to certain limitations of the Internal Revenue Code (the “Code”).</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Statements of Changes in Net Assets Available for Benefits for the year ended December 31, 2024, Other contributions represents qualified nonelective employer contributions related to the settlement of a class action lawsuit. This matter was fully resolved upon receipt of this contribution.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the Company’s matching contributions and allocations of plan earnings, and is charged with an allocation of administrative expenses. Plan earnings are allocated based on the participant’s share of net earnings or losses of their respective elected investment options. Allocations of plan administrative expenses are based on the participant’s account balances, as defined.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Plan invests in common stock of the Company through its Company Stock Fund. The Company Stock Fund may also hold cash or other short-term securities, although these are expected to be a small percentage of the fund. The Company has implemented a dividend pass through election for its participants.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shares allocated to their account and is notified by the Company prior to the time that such rights may be exercised. The Trustee is not permitted to vote any allocated shares for which instructions have not been given by a participant. The Trustee votes any unallocated shares in the same proportion as those shares that were allocated, unless the Committee directs the Trustee otherwise. Participants have the same voting rights in the event of a tender or exchange offer.</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Effective January 1, 2025, participants may initiate an in-plan Roth conversion. Within certain limitations, a participant may also transfer into the Plan a rollover contribution or other assets from another qualified plan.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certain exceptions, participants may transfer existing fund balances among the various investment funds daily. Transfers into the Company Stock Fund will not be permitted until 90 days after the last transfer out. There are no restrictions on the frequency of transfers out of the Company Stock Fund. Effective January 1, 2025, participants are limited to allocating no more than 50% of their account balance to the Company Stock Fund.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separation from service with the Company due to death, disability, retirement or termination, a participant may elect to receive either a lump sum or may elect installment payments on a monthly basis. The benefit to which a participant is entitled is the benefit that can be provided from the vested value of the participant’s account. In-service withdrawals are available in certain limited circumstances, as defined by the Plan. Hardship withdrawals are allowed for participants incurring an immediate and heavy financial need, as defined by the Plan. Hardship withdrawals are strictly regulated by the Internal Revenue Service (“IRS”) and a participant must exhaust all available loan options and available distributions prior to requesting a hardship withdrawal.</w:t>
      </w:r>
    </w:p>
    <w:p>
      <w:pPr>
        <w:spacing w:after="0" w:line="187"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Although it has not expressed any intent to do so, the Company has the right under the Plan to discontinue its contributions at any time and to terminate the Plan subject to the provisions of the Employee Retirement Income Security Act of 1974, as amended, (“ERISA”) and applicable collective bargaining agreements. Distributions would be made in accordance with the terms of the Plan document.</w:t>
      </w:r>
    </w:p>
    <w:p>
      <w:pPr>
        <w:spacing w:after="0" w:line="15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above is intended as a general description of the Plan’s operating guidelines. Reference should be made to the Plan document for more 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Accounting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Notes receivable from participants are loans of a portion of the participants’ existing account balance that the Plan permits participants to borrow. Loans are made subject to certain conditions and limitations specified in the Plan and are repaid in weekly installments, including interest. The Plan allows active participants to only have three loans (only one of which can be used to purchase the participant’s primary residence) outstanding at any time. The minimum amount allowed by the Plan for a loan is $500 and the maximum loan amount available to a participant is determined by their account balance. The Plan allows a participant to borrow up to the lesser of</w:t>
      </w:r>
    </w:p>
    <w:p>
      <w:pPr>
        <w:spacing w:after="0" w:line="3" w:lineRule="exact"/>
        <w:rPr>
          <w:sz w:val="20"/>
          <w:szCs w:val="20"/>
          <w:color w:val="auto"/>
        </w:rPr>
      </w:pPr>
    </w:p>
    <w:p>
      <w:pPr>
        <w:ind w:right="40" w:firstLine="8"/>
        <w:spacing w:after="0" w:line="251"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their account balance or (ii) $50,000. The maximum term of loans is five years, with the exception of home loans for the purchase of a primary residence, for which the maximum term is ten years. Participants’ loans are collateralized by their account balances. The rate at which loans bear interest is established at the inception of the borrowing, based on the prime rate then being charged by the Trustee plus 1%. Repayments of loans, including the interest portion thereof, are reinvested on the participants’ behalf in accordance with their current choice of investment options. Participants are charged a transaction fee for each new loan initiated. The amount of the fee is $50 for a nonresidential loan and $100 for a residential loan. The fee is deducted from the participant’s account when the loan is processed. Notes receivable from participants are valued at their unpaid principal balances plus accrued interest. Interest income on notes receivable from participants is recorded when earned.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Participant contributions and the matching employer contributions are recorded in the year in which the participant contributions are withheld from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Plan Investments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reflect the Plan’s total interest in the net assets and transactions of the Trust as allocated by the Recordkeeper and any such other investments and transactions related solely to the Plan. Net assets, as well as earnings and losses, of the Trust are allocated to the Plan based on the sum of the individual accounts of the Plan’s participants. The Trust also invests in the common stock of the Company. These transactions qualify as party-in-interest transactions; however, they are exempt from the prohibited transaction rules under ERISA.</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Plan has specific interests in certain investments of the Trust based on account balances of the participants and their investment options. The Trust assets are allocated among the participating plans by assigning to each plan those transactions (primarily contributions, benefit payments, and plan-specific expenses) that can be specifically identified and by allocating among all plans, in proportion to the fair value of the assets assigned to each plan, income and expenses resulting from the collective investment of the assets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net assets of the Trust and the Plan’s interest in the Trust: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Plan’s Interest in</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473,782,200</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$ 214,534,335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31,883,675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38,343,471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32,638,716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6,173,510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80" w:type="dxa"/>
            <w:vAlign w:val="bottom"/>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$ 702,297,483</w:t>
            </w:r>
          </w:p>
        </w:tc>
        <w:tc>
          <w:tcPr>
            <w:tcW w:w="180" w:type="dxa"/>
            <w:vAlign w:val="bottom"/>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$ 323,573,707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interest as a percentage of the Trust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1320" w:type="dxa"/>
            <w:vAlign w:val="bottom"/>
            <w:tcBorders>
              <w:top w:val="single" w:sz="8" w:color="auto"/>
            </w:tcBorders>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Plan’s Interest in</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310,519,972</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$ 139,495,641</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47,129,696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cash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34,565,092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38,336,168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27,621,162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2,999,120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$ 666,372,373</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$ 290,146,879</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interest as a percentage of the Trust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432"/>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investment income of the Trust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6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w:t>
            </w: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9,944,398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92,895,121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46,586,715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102,839,519</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53,633,227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interest in investment income of the Trust</w:t>
            </w: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47,448,162</w:t>
            </w:r>
          </w:p>
        </w:tc>
        <w:tc>
          <w:tcPr>
            <w:tcW w:w="4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16,008,081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3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Investment Valuation and Income Recognition</w:t>
            </w:r>
          </w:p>
        </w:tc>
        <w:tc>
          <w:tcPr>
            <w:tcW w:w="37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360" w:type="dxa"/>
            <w:vAlign w:val="bottom"/>
            <w:tcBorders>
              <w:bottom w:val="single" w:sz="8" w:color="auto"/>
            </w:tcBorders>
            <w:gridSpan w:val="2"/>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Investments held by the Trust are stated at fair value. Fair value is defined as the price that would be received to sell an asset or paid to transfer a liability in an orderly transaction between market participants at the measurement date (an exit price). See Note 3 for further discussion and disclosures related to fair value measurements.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as earned. Dividends are recorded on the ex-dividend date. Net appreciation (depreciation)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Status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received a determination letter from the IRS dated October 16, 2014, stating that the Plan is qualified under</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401(a) of the Code and therefore the related trust is tax-exempt. Subsequent to this determination by the IRS, the Plan was amended and restated. The Plan is required to operate in conformity with the Code to maintain its qualified status. The Plan administrator has indicated that it will take the necessary steps, if any, to bring the Plan’s operations into compliance with the Code.</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tax positions taken by the Plan and recognize a tax liability if the Plan has taken an uncertain position that more likely than not would not be sustained upon examination by the IRS. Plan management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expenses are paid by either the Plan or the Company, as provided by the Plan’s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and supplemental schedule. Actual results could differ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and Uncertainties</w:t>
      </w:r>
    </w:p>
    <w:p>
      <w:pPr>
        <w:spacing w:after="0" w:line="22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(“GAAP”) define fair value as an exit price, representing the amount that would be received to sell an asset or paid to transfer a liability (exit price) in the principal or most advantageous market for the asset or liability in an orderly transaction between market participants. GAAP establishes a three-tier fair value hierarchy, which prioritizes the inputs used in measuring fair value as follows: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in active markets;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for which there is little or no market data, which requires the Company to develop assumptions.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techniques and inputs used for each general type of assets measured at fair value:</w:t>
      </w:r>
    </w:p>
    <w:p>
      <w:pPr>
        <w:spacing w:after="0" w:line="223"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Common/collective trust funds: </w:t>
      </w:r>
      <w:r>
        <w:rPr>
          <w:rFonts w:ascii="Times New Roman" w:cs="Times New Roman" w:eastAsia="Times New Roman" w:hAnsi="Times New Roman"/>
          <w:sz w:val="18"/>
          <w:szCs w:val="18"/>
          <w:color w:val="auto"/>
        </w:rPr>
        <w:t>The common/collective trust funds are valued at the net asset value (“NAV”)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Consists of the Company’s stock valued using quoted market prices on the last business day of the year.</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The shares of mutual funds are valued at quoted market prices which represent the NAV of shares held by the Plan at year-end.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bearing cash: </w:t>
      </w:r>
      <w:r>
        <w:rPr>
          <w:rFonts w:ascii="Times New Roman" w:cs="Times New Roman" w:eastAsia="Times New Roman" w:hAnsi="Times New Roman"/>
          <w:sz w:val="18"/>
          <w:szCs w:val="18"/>
          <w:color w:val="auto"/>
        </w:rPr>
        <w:t>The non-interest bearing cash is valued at cost, which approximates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Pooled separate account: </w:t>
      </w:r>
      <w:r>
        <w:rPr>
          <w:rFonts w:ascii="Times New Roman" w:cs="Times New Roman" w:eastAsia="Times New Roman" w:hAnsi="Times New Roman"/>
          <w:sz w:val="18"/>
          <w:szCs w:val="18"/>
          <w:color w:val="auto"/>
        </w:rPr>
        <w:t>The pooled separate account is valued at the NAV provided by the administrator of the fund.</w:t>
      </w:r>
    </w:p>
    <w:p>
      <w:pPr>
        <w:spacing w:after="0" w:line="225"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Self-directed brokerage account: </w:t>
      </w:r>
      <w:r>
        <w:rPr>
          <w:rFonts w:ascii="Times New Roman" w:cs="Times New Roman" w:eastAsia="Times New Roman" w:hAnsi="Times New Roman"/>
          <w:sz w:val="18"/>
          <w:szCs w:val="18"/>
          <w:color w:val="auto"/>
        </w:rPr>
        <w:t>This investment is comprised of cash and cash equivalents, mutual funds, common stock, exchange-traded funds, and other assets as permitted by the Plan document. The fair values of the funds are determined on the basis of quoted market prices in an active market.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Trust believes its valuation methods are appropriate and consistent with other market participants, the use of different methodologies or assumptions to determine the fair value of certain financial instruments could result in a different fair value measurement at the reporting date. No transfers between levels occurred during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Trust’s assets at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4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42"/>
        </w:trPr>
        <w:tc>
          <w:tcPr>
            <w:tcW w:w="4060" w:type="dxa"/>
            <w:vAlign w:val="bottom"/>
          </w:tcPr>
          <w:p>
            <w:pPr>
              <w:spacing w:after="0"/>
              <w:rPr>
                <w:sz w:val="12"/>
                <w:szCs w:val="12"/>
                <w:color w:val="auto"/>
              </w:rPr>
            </w:pPr>
          </w:p>
        </w:tc>
        <w:tc>
          <w:tcPr>
            <w:tcW w:w="1940" w:type="dxa"/>
            <w:vAlign w:val="bottom"/>
            <w:gridSpan w:val="2"/>
          </w:tcPr>
          <w:p>
            <w:pPr>
              <w:ind w:left="1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$ 473,782,200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$ 473,782,200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4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$ 702,297,483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$ 702,297,483</w:t>
            </w:r>
          </w:p>
        </w:tc>
      </w:tr>
      <w:tr>
        <w:trPr>
          <w:trHeight w:val="20"/>
        </w:trPr>
        <w:tc>
          <w:tcPr>
            <w:tcW w:w="4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194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4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42"/>
        </w:trPr>
        <w:tc>
          <w:tcPr>
            <w:tcW w:w="4060" w:type="dxa"/>
            <w:vAlign w:val="bottom"/>
          </w:tcPr>
          <w:p>
            <w:pPr>
              <w:spacing w:after="0"/>
              <w:rPr>
                <w:sz w:val="12"/>
                <w:szCs w:val="12"/>
                <w:color w:val="auto"/>
              </w:rPr>
            </w:pPr>
          </w:p>
        </w:tc>
        <w:tc>
          <w:tcPr>
            <w:tcW w:w="1940" w:type="dxa"/>
            <w:vAlign w:val="bottom"/>
            <w:gridSpan w:val="2"/>
          </w:tcPr>
          <w:p>
            <w:pPr>
              <w:ind w:left="1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$ 310,519,972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$ 310,519,972</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cash</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r>
      <w:tr>
        <w:trPr>
          <w:trHeight w:val="20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$ 666,372,373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$ 666,372,373</w:t>
            </w:r>
          </w:p>
        </w:tc>
      </w:tr>
      <w:tr>
        <w:trPr>
          <w:trHeight w:val="20"/>
        </w:trPr>
        <w:tc>
          <w:tcPr>
            <w:tcW w:w="4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Employer Identification No. 22-2781933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No. 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4i-Schedule of Assets (Held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4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68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rates ranging</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from 4.25% to 9.50%,</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$ 17,460,987</w:t>
            </w:r>
          </w:p>
        </w:tc>
        <w:tc>
          <w:tcPr>
            <w:tcW w:w="0" w:type="dxa"/>
            <w:vAlign w:val="bottom"/>
          </w:tcPr>
          <w:p>
            <w:pPr>
              <w:spacing w:after="0"/>
              <w:rPr>
                <w:sz w:val="1"/>
                <w:szCs w:val="1"/>
                <w:color w:val="auto"/>
              </w:rPr>
            </w:pPr>
          </w:p>
        </w:tc>
      </w:tr>
      <w:tr>
        <w:trPr>
          <w:trHeight w:val="221"/>
        </w:trPr>
        <w:tc>
          <w:tcPr>
            <w:tcW w:w="684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various maturity dates</w:t>
            </w: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Long-Term Savings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29" w:lineRule="exact"/>
        <w:rPr>
          <w:sz w:val="20"/>
          <w:szCs w:val="20"/>
          <w:color w:val="auto"/>
        </w:rPr>
      </w:pPr>
    </w:p>
    <w:p>
      <w:pPr>
        <w:ind w:left="900" w:hanging="892"/>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Savings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Owens-Illinois, Inc. Long-Term Savings Plan</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O-I Glass, Inc.</w:t>
            </w:r>
          </w:p>
        </w:tc>
      </w:tr>
      <w:tr>
        <w:trPr>
          <w:trHeight w:val="234"/>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Committee</w:t>
            </w:r>
          </w:p>
        </w:tc>
      </w:tr>
      <w:tr>
        <w:trPr>
          <w:trHeight w:val="648"/>
        </w:trPr>
        <w:tc>
          <w:tcPr>
            <w:tcW w:w="3260" w:type="dxa"/>
            <w:vAlign w:val="bottom"/>
          </w:tcPr>
          <w:p>
            <w:pPr>
              <w:spacing w:after="0"/>
              <w:rPr>
                <w:sz w:val="24"/>
                <w:szCs w:val="24"/>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Michael Buchs</w:t>
            </w:r>
          </w:p>
        </w:tc>
      </w:tr>
      <w:tr>
        <w:trPr>
          <w:trHeight w:val="191"/>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Buchs</w:t>
            </w:r>
          </w:p>
        </w:tc>
      </w:tr>
      <w:tr>
        <w:trPr>
          <w:trHeight w:val="234"/>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Employee Benefits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 333-232954, 333-236546 and 333-249727) pertaining to Owens-Illinois, Inc. Long-Term Savings Plan of our report dated June 23, 2026, with respect to the financial statements and schedule of Owens-Illinois, Inc. Long-Term Savings Plan included in this Annual Report (Form 11-K)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Toledo,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2026-06-23T15:52:51Z</dcterms:created>
  <dcterms:modified xsi:type="dcterms:W3CDTF">2026-06-23T15:52:51Z</dcterms:modified>
</cp:coreProperties>
</file>