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001-10956</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OWENS-ILLINOIS GROUP INC</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00"/>
        <w:spacing w:after="0"/>
        <w:rPr>
          <w:sz w:val="20"/>
          <w:szCs w:val="20"/>
          <w:color w:val="auto"/>
        </w:rPr>
      </w:pPr>
      <w:r>
        <w:rPr>
          <w:rFonts w:ascii="Arial" w:cs="Arial" w:eastAsia="Arial" w:hAnsi="Arial"/>
          <w:sz w:val="22"/>
          <w:szCs w:val="22"/>
          <w:color w:val="auto"/>
        </w:rPr>
        <w:t>Address: One Michael Owens Way</w:t>
      </w:r>
    </w:p>
    <w:p>
      <w:pPr>
        <w:spacing w:after="0" w:line="44" w:lineRule="exact"/>
        <w:rPr>
          <w:sz w:val="24"/>
          <w:szCs w:val="24"/>
          <w:color w:val="auto"/>
        </w:rPr>
      </w:pPr>
    </w:p>
    <w:p>
      <w:pPr>
        <w:ind w:left="3820"/>
        <w:spacing w:after="0"/>
        <w:rPr>
          <w:sz w:val="20"/>
          <w:szCs w:val="20"/>
          <w:color w:val="auto"/>
        </w:rPr>
      </w:pPr>
      <w:r>
        <w:rPr>
          <w:rFonts w:ascii="Arial" w:cs="Arial" w:eastAsia="Arial" w:hAnsi="Arial"/>
          <w:sz w:val="22"/>
          <w:szCs w:val="22"/>
          <w:color w:val="auto"/>
        </w:rPr>
        <w:t>Perrysburg OHIO 43551-2999</w:t>
      </w:r>
    </w:p>
    <w:p>
      <w:pPr>
        <w:spacing w:after="0" w:line="44" w:lineRule="exact"/>
        <w:rPr>
          <w:sz w:val="24"/>
          <w:szCs w:val="24"/>
          <w:color w:val="auto"/>
        </w:rPr>
      </w:pPr>
    </w:p>
    <w:tbl>
      <w:tblPr>
        <w:tblLayout w:type="fixed"/>
        <w:tblInd w:w="2100" w:type="dxa"/>
        <w:tblCellMar>
          <w:top w:w="0" w:type="dxa"/>
          <w:left w:w="0" w:type="dxa"/>
          <w:bottom w:w="0" w:type="dxa"/>
          <w:right w:w="0" w:type="dxa"/>
        </w:tblCellMar>
      </w:tblPr>
      <w:tr>
        <w:trPr>
          <w:trHeight w:val="275"/>
        </w:trPr>
        <w:tc>
          <w:tcPr>
            <w:tcW w:w="3060" w:type="dxa"/>
            <w:vAlign w:val="bottom"/>
          </w:tcPr>
          <w:p>
            <w:pPr>
              <w:spacing w:after="0"/>
              <w:rPr>
                <w:sz w:val="20"/>
                <w:szCs w:val="20"/>
                <w:color w:val="auto"/>
              </w:rPr>
            </w:pPr>
            <w:r>
              <w:rPr>
                <w:rFonts w:ascii="Arial" w:cs="Arial" w:eastAsia="Arial" w:hAnsi="Arial"/>
                <w:sz w:val="22"/>
                <w:szCs w:val="22"/>
                <w:color w:val="auto"/>
              </w:rPr>
              <w:t>Telephone number:</w:t>
            </w:r>
          </w:p>
        </w:tc>
        <w:tc>
          <w:tcPr>
            <w:tcW w:w="2740" w:type="dxa"/>
            <w:vAlign w:val="bottom"/>
          </w:tcPr>
          <w:p>
            <w:pPr>
              <w:jc w:val="right"/>
              <w:spacing w:after="0"/>
              <w:rPr>
                <w:sz w:val="20"/>
                <w:szCs w:val="20"/>
                <w:color w:val="auto"/>
              </w:rPr>
            </w:pPr>
            <w:r>
              <w:rPr>
                <w:rFonts w:ascii="Arial" w:cs="Arial" w:eastAsia="Arial" w:hAnsi="Arial"/>
                <w:sz w:val="22"/>
                <w:szCs w:val="22"/>
                <w:color w:val="auto"/>
              </w:rPr>
              <w:t>(567) 336-5000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2019-12-27</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080"/>
              <w:spacing w:after="0"/>
              <w:rPr>
                <w:sz w:val="20"/>
                <w:szCs w:val="20"/>
                <w:color w:val="auto"/>
              </w:rPr>
            </w:pPr>
            <w:r>
              <w:rPr>
                <w:rFonts w:ascii="Arial" w:cs="Arial" w:eastAsia="Arial" w:hAnsi="Arial"/>
                <w:sz w:val="22"/>
                <w:szCs w:val="22"/>
                <w:color w:val="auto"/>
              </w:rPr>
              <w:t>Kristen Braley</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Analyst, Regulation</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ind w:right="20"/>
        <w:spacing w:after="0" w:line="269"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January 07, 2020, pursuant to the provisions of Rule 12d2-2 (a). [ X ] 17 CFR 240.12d2-2(a)(3) That on December 27, 2019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Pursuant to the formation of a holding company which became effective on December 27, 2019, each share of Common Stock of Owens-Illinois, Inc. (Old) was deemed to represent one</w:t>
      </w:r>
    </w:p>
    <w:p>
      <w:pPr>
        <w:spacing w:after="0" w:line="6" w:lineRule="exact"/>
        <w:rPr>
          <w:sz w:val="20"/>
          <w:szCs w:val="20"/>
          <w:color w:val="auto"/>
        </w:rPr>
      </w:pPr>
    </w:p>
    <w:p>
      <w:pPr>
        <w:ind w:firstLine="8"/>
        <w:spacing w:after="0" w:line="234"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share of O-I Glass, Inc. (New) Common Stock on a share for share basis. This form 25 is only for the removal from listing on the Exchange of the Common Stock of Owens-Illinois, Inc. (Old), and not a termination of the registration of the Common Stock of O-I Glass, Inc. (New) under Section 12(b) of the Exchange Act.</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10956" TargetMode="External"/><Relationship Id="rId10" Type="http://schemas.openxmlformats.org/officeDocument/2006/relationships/hyperlink" Target="http://www.sec.gov/cgi-bin/browse-edgar?action=getcompany&amp;CIK=0000812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2019-12-27T09:50:16Z</dcterms:created>
  <dcterms:modified xsi:type="dcterms:W3CDTF">2019-12-27T09:50:16Z</dcterms:modified>
</cp:coreProperties>
</file>