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18,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100330</wp:posOffset>
            </wp:positionV>
            <wp:extent cx="1036955"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695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O-I GLASS,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8" w:right="339" w:bottom="1440" w:gutter="0" w:footer="0" w:header="0"/>
        </w:sectPr>
      </w:pPr>
    </w:p>
    <w:p>
      <w:pPr>
        <w:spacing w:after="0" w:line="13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1-9576</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22-2781933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440" w:space="720"/>
            <w:col w:w="2900" w:space="720"/>
            <w:col w:w="2460"/>
          </w:cols>
          <w:pgMar w:left="320" w:top="678" w:right="339" w:bottom="1440" w:gutter="0" w:footer="0" w:header="0"/>
          <w:type w:val="continuous"/>
        </w:sect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One Michael Owens Way</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Perrysburg, Ohio</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43551-2999</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135" w:lineRule="exact"/>
        <w:rPr>
          <w:sz w:val="24"/>
          <w:szCs w:val="24"/>
          <w:color w:val="auto"/>
        </w:rPr>
      </w:pPr>
    </w:p>
    <w:p>
      <w:pPr>
        <w:sectPr>
          <w:pgSz w:w="11900" w:h="16838" w:orient="portrait"/>
          <w:cols w:equalWidth="0" w:num="2">
            <w:col w:w="7280" w:space="720"/>
            <w:col w:w="3240"/>
          </w:cols>
          <w:pgMar w:left="320" w:top="67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(567) 336-5000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40" w:firstLine="8"/>
        <w:spacing w:after="0" w:line="454"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30"/>
        </w:trPr>
        <w:tc>
          <w:tcPr>
            <w:tcW w:w="3960" w:type="dxa"/>
            <w:vAlign w:val="bottom"/>
            <w:tcBorders>
              <w:left w:val="single" w:sz="8" w:color="auto"/>
              <w:right w:val="single" w:sz="8" w:color="auto"/>
            </w:tcBorders>
            <w:vMerge w:val="continue"/>
          </w:tcPr>
          <w:p>
            <w:pPr>
              <w:spacing w:after="0"/>
              <w:rPr>
                <w:sz w:val="11"/>
                <w:szCs w:val="11"/>
                <w:color w:val="auto"/>
              </w:rPr>
            </w:pPr>
          </w:p>
        </w:tc>
        <w:tc>
          <w:tcPr>
            <w:tcW w:w="338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108"/>
        </w:trPr>
        <w:tc>
          <w:tcPr>
            <w:tcW w:w="3960" w:type="dxa"/>
            <w:vAlign w:val="bottom"/>
            <w:tcBorders>
              <w:left w:val="single" w:sz="8" w:color="auto"/>
              <w:bottom w:val="single" w:sz="8" w:color="auto"/>
              <w:right w:val="single" w:sz="8" w:color="auto"/>
            </w:tcBorders>
          </w:tcPr>
          <w:p>
            <w:pPr>
              <w:spacing w:after="0"/>
              <w:rPr>
                <w:sz w:val="9"/>
                <w:szCs w:val="9"/>
                <w:color w:val="auto"/>
              </w:rPr>
            </w:pPr>
          </w:p>
        </w:tc>
        <w:tc>
          <w:tcPr>
            <w:tcW w:w="3380" w:type="dxa"/>
            <w:vAlign w:val="bottom"/>
            <w:tcBorders>
              <w:bottom w:val="single" w:sz="8" w:color="auto"/>
              <w:right w:val="single" w:sz="8" w:color="auto"/>
            </w:tcBorders>
          </w:tcPr>
          <w:p>
            <w:pPr>
              <w:spacing w:after="0"/>
              <w:rPr>
                <w:sz w:val="9"/>
                <w:szCs w:val="9"/>
                <w:color w:val="auto"/>
              </w:rPr>
            </w:pPr>
          </w:p>
        </w:tc>
        <w:tc>
          <w:tcPr>
            <w:tcW w:w="39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OI</w:t>
            </w:r>
          </w:p>
        </w:tc>
        <w:tc>
          <w:tcPr>
            <w:tcW w:w="3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7"/>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On May 18, 2026, Owens-Brockway Glass Container Inc. (“OBGC”), a Delaware corporation and an indirect wholly owned subsidiary of O-I Glass, Inc. (“O-I Glass”), completed a private offering of $500 million aggregate principal amount of its 9.500% Senior Notes due 2033 (the “Notes”) to eligible purchasers under Rule 144A and Regulation S of the U.S. Securities Act of 1933, as amended (the “Securities Act”). The Notes are fully and unconditionally guaranteed, on a joint and several basis, by Owens-Illinois Group, Inc. (“OI Group”) and certain U.S. domestic subsidiaries of OI Group that are guarantors under OI Group’s credit agreement.</w:t>
      </w:r>
    </w:p>
    <w:p>
      <w:pPr>
        <w:spacing w:after="0" w:line="18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relevant terms of the Notes are set forth in the indenture, dated as of May 18, 2026 (the “Indenture”), by and among OBGC, the guarantors party thereto, including OI Group, and Regions Bank, as trustee. A copy of the Indenture (including the form of the global note) is attached hereto as Exhibit 4.1 and is incorporated herein by reference.</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descriptions in this Current Report of the Notes and the Indenture are not intended to be a complete description of those documents and are qualified in their entirety by the full text of the Indenture, including the form of the Note contained therein, which is attached as an exhibit to and incorporated by reference in this Current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report is incorporated in this Item 2.03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Indenture, dated as of May 18, 2026, by and among Owens-Brockway Glass Container Inc., the guarantors party thereto and Regions</w:t>
            </w:r>
          </w:p>
        </w:tc>
        <w:tc>
          <w:tcPr>
            <w:tcW w:w="280" w:type="dxa"/>
            <w:vAlign w:val="bottom"/>
          </w:tcPr>
          <w:p>
            <w:pPr>
              <w:spacing w:after="0"/>
              <w:rPr>
                <w:sz w:val="14"/>
                <w:szCs w:val="14"/>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Bank, as trustee</w:t>
            </w:r>
          </w:p>
        </w:tc>
      </w:tr>
      <w:tr>
        <w:trPr>
          <w:trHeight w:val="20"/>
        </w:trPr>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740" w:type="dxa"/>
            <w:vAlign w:val="bottom"/>
            <w:gridSpan w:val="2"/>
          </w:tcPr>
          <w:p>
            <w:pPr>
              <w:spacing w:after="0" w:line="20" w:lineRule="exact"/>
              <w:rPr>
                <w:sz w:val="1"/>
                <w:szCs w:val="1"/>
                <w:color w:val="auto"/>
              </w:rPr>
            </w:pPr>
          </w:p>
        </w:tc>
      </w:tr>
      <w:tr>
        <w:trPr>
          <w:trHeight w:val="23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675"/>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O-I GLASS,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Haudrich</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Haudrich</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w:t>
      </w: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OWENS-BROCKWAY GLASS CONTAINER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Guarantors set forth in Annex A attached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18,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Regions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40" w:type="dxa"/>
            <w:vAlign w:val="bottom"/>
          </w:tcPr>
          <w:p>
            <w:pPr>
              <w:spacing w:after="0"/>
              <w:rPr>
                <w:sz w:val="18"/>
                <w:szCs w:val="18"/>
                <w:color w:val="auto"/>
              </w:rPr>
            </w:pPr>
          </w:p>
        </w:tc>
        <w:tc>
          <w:tcPr>
            <w:tcW w:w="720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40" w:type="dxa"/>
            <w:vAlign w:val="bottom"/>
            <w:vMerge w:val="continue"/>
          </w:tcPr>
          <w:p>
            <w:pPr>
              <w:spacing w:after="0"/>
              <w:rPr>
                <w:sz w:val="17"/>
                <w:szCs w:val="17"/>
                <w:color w:val="auto"/>
              </w:rPr>
            </w:pPr>
          </w:p>
        </w:tc>
        <w:tc>
          <w:tcPr>
            <w:tcW w:w="7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40" w:type="dxa"/>
            <w:vAlign w:val="bottom"/>
          </w:tcPr>
          <w:p>
            <w:pPr>
              <w:ind w:left="500"/>
              <w:spacing w:after="0" w:line="194" w:lineRule="exact"/>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Definitions</w:t>
            </w:r>
          </w:p>
        </w:tc>
        <w:tc>
          <w:tcPr>
            <w:tcW w:w="2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1.02.</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Definitions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Rules of Construction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2.01.</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Unlimited in Amount, Form and Dating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2.02.</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2.03.</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2.04.</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2.05.</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Holder Lists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2.06.</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and Exchange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2.07.</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Notes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2.08.</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Notes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2.09.</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Temporary Notes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2.10.</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2.11.</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Defaulted Interest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2.12.</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 Record Dates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2.13.</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CUSIP and ISIN Numbers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2.14.</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2.15.</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3.01.</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 to Trustee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Selection of Notes to Be Redeemed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3.03.</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3.04.</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3.05.</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3.06.</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Redeemed in Part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3.07.</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3.08.</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Optional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3.09.</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3.10.</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Mandatory Redemption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4.01.</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Securities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4.02.</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4.03.</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4.04.</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Certificate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4.05.</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4.06.</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4.07.</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4.08.</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 to Repurchase Upon a Change of Control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4.09.</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4.10.</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Sale and Leaseback Transactions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4.11.</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Limitations on Issuances of Guarantees of Indebtedness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SUCCESSORS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5.01.</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Consolidation or Sale of Assets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5.02.</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6.01.</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6.02.</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6.03.</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Remedies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6.04.</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Past Defaults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6.05.</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by Majority</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6.06.</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Suits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6.07.</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6.08.</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6.09.</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6.10.</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Priorities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6.11.</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Undertaking for Costs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7.01.</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Duties of 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7.02.</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7.03.</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7.04.</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Trustee’s Disclaimer</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7.05.</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Defaults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7.06.</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7.07.</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of 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7.08.</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7.09.</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SATISFACTION AND DISCHARGE; DEFEASANCE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8.01.</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8.02.</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8.03.</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Defeasance of Notes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8.04.</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Covenant Defeasance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8.05.</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to Company</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SUPPLEMENTS, AMENDMENTS AND WAIVERS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9.01.</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9.02.</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Consent of Holders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9.03.</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9.04.</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9.05.</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Trustee/Agents to Sign Amendments, Etc.</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10. GUARANTEE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10.01.</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10.02.</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Liability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10.03.</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Execution and Delivery of Guarantee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10.04.</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10.05.</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10.06.</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Contribution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10.07.</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Subrogation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10.08.</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Guarantors; Reinstatement of Guarantees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10.09.</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Modification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10.10.</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 of Guarantor</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11.01.</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11.02.</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11.03.</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11.04.</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11.05.</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11.06.</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11.07.</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Holidays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11.08.</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11.09.</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11.10.</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11.11.</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11.12.</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11.13.</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Headings, Table of Contents, Etc.</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11.14.</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11.15.</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Interpretation of Other Agreements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11.16.</w:t>
            </w:r>
          </w:p>
        </w:tc>
        <w:tc>
          <w:tcPr>
            <w:tcW w:w="6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Patriot Act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ANNEXES</w:t>
            </w:r>
          </w:p>
        </w:tc>
        <w:tc>
          <w:tcPr>
            <w:tcW w:w="6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A Guarantors</w:t>
            </w:r>
          </w:p>
        </w:tc>
        <w:tc>
          <w:tcPr>
            <w:tcW w:w="66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6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Guarantee</w:t>
            </w: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Note</w:t>
            </w:r>
          </w:p>
        </w:tc>
        <w:tc>
          <w:tcPr>
            <w:tcW w:w="30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of Supplemental Indenture</w:t>
            </w:r>
          </w:p>
        </w:tc>
        <w:tc>
          <w:tcPr>
            <w:tcW w:w="300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3000" w:type="dxa"/>
            <w:vAlign w:val="bottom"/>
          </w:tcPr>
          <w:p>
            <w:pPr>
              <w:spacing w:after="0"/>
              <w:rPr>
                <w:sz w:val="20"/>
                <w:szCs w:val="20"/>
                <w:color w:val="auto"/>
              </w:rPr>
            </w:pP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INDENTURE dated as of May 18, 2026 among Owens-Brockway Glass Container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(as defined herein) and Regions Bank, a state banking corporation existing under the laws of the State of Alabama, as Trustee.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by the Company of $500,000,000 aggregate principal amount of 9.500% Senior Notes due 2033 issued on the date hereof (the “</w:t>
      </w: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on the terms set forth herein.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Guarantor has duly authorized its Guarantee of the Initial Notes and to provide therefor each Guarantor has duly authorized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and delivery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party agrees as follows for the benefit of each other and for the equal and ratable benefit of the Holders of the Initial Notes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Notes that are actually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1.01. Certain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“144A Global Security” or “144A Global Securities” </w:t>
      </w:r>
      <w:r>
        <w:rPr>
          <w:rFonts w:ascii="Times New Roman" w:cs="Times New Roman" w:eastAsia="Times New Roman" w:hAnsi="Times New Roman"/>
          <w:sz w:val="18"/>
          <w:szCs w:val="18"/>
          <w:color w:val="auto"/>
        </w:rPr>
        <w:t>means any Global Security bearing the Global Security Legend and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Legend and deposited with or on behalf of, and registered in the name of, the Depositary or its nominee that will be issued in a denomination equal to the outstanding principal amount of the Notes sold in reliance on Rule 144A.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of any specified Person means any other Person directly or indirectly controlling or controlled by or under direct or indirect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control with such specified Person. For purposes of this definition, “control,” as used with respect to any Person, shall mean the possession,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of the power to direct or cause the direction of the management or policies of such Person, whether through the ownership of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by agreement or otherwise. For purposes of this definition, the terms “controlling,” “controlled by” and “under common control with”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correlative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“Agent” </w:t>
      </w:r>
      <w:r>
        <w:rPr>
          <w:rFonts w:ascii="Times New Roman" w:cs="Times New Roman" w:eastAsia="Times New Roman" w:hAnsi="Times New Roman"/>
          <w:sz w:val="18"/>
          <w:szCs w:val="18"/>
          <w:color w:val="auto"/>
        </w:rPr>
        <w:t>means any Registrar, Paying Agent, Transfer Agent, authenticating agent or co-Registrar, including any Agent performing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more of such roles.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“Applicable Procedures” </w:t>
      </w:r>
      <w:r>
        <w:rPr>
          <w:rFonts w:ascii="Times New Roman" w:cs="Times New Roman" w:eastAsia="Times New Roman" w:hAnsi="Times New Roman"/>
          <w:sz w:val="18"/>
          <w:szCs w:val="18"/>
          <w:color w:val="auto"/>
        </w:rPr>
        <w:t>means, with respect to any transfer or exchange of or for beneficial interests in any Global Security,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and procedures of the Depositary that apply to such transfer or exchange.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with respect to any Sale and Leaseback Transaction, at the time of determination, the lesser of (1) the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the property so leased multiplied by a fraction the numerator of which is the remaining portion of the base term of the lease included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and the denominator of which is the base term of such lease, and (2) the total obligation (discounted to the present value at the implicit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 determined in accordance with GAAP, included in the rental payments) of the lessee for rental payments (other than amounts required to be paid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of property taxes as well as maintenance, repairs, insurance, water rates and other items which do not constitute payments for property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remaining portion of the base term of the lease included in such transaction. Notwithstanding the foregoing, if such Sale and Leaseback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results in a Capital Lease Obligation, the amount of Indebtedness represented thereby will be determined in accordance with the definition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Lease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means: (1) with respect to a corporation, the board of directors of the corporation or any duly authorized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(2) with respect to a partnership, the board of directors of the general partner of the partnership or any duly authorized committee thereof; and (3) with respect to any other Person, the board or committee of such Person serving a similar function.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each Monday, Tuesday, Wednesday, Thursday and Friday which is not a day on which banking institutions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City, New York or Toledo, Ohio are authorized or obligated by law or executive order to close.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 Lease Obligation” </w:t>
      </w:r>
      <w:r>
        <w:rPr>
          <w:rFonts w:ascii="Times New Roman" w:cs="Times New Roman" w:eastAsia="Times New Roman" w:hAnsi="Times New Roman"/>
          <w:sz w:val="18"/>
          <w:szCs w:val="18"/>
          <w:color w:val="auto"/>
        </w:rPr>
        <w:t>means, at the time any determination thereof is to be made, the amount of the liability in respect of a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lease that would at that time be required to be capitalized on a balance sheet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lease that would have been characterized as an operating lease for purposes of GAAP prior to the issuance of FASB ASU No. 2016-02 shall be accounted for as an operating lease for purposes of this Indenture (whether or not such operating lease was in effect on such date) notwithstanding the fact that such lease is required in accordance with such ASU (on a prospective or retrospective basis or otherwise) to be treated as a capitalized lease.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 Stock” </w:t>
      </w:r>
      <w:r>
        <w:rPr>
          <w:rFonts w:ascii="Times New Roman" w:cs="Times New Roman" w:eastAsia="Times New Roman" w:hAnsi="Times New Roman"/>
          <w:sz w:val="18"/>
          <w:szCs w:val="18"/>
          <w:color w:val="auto"/>
        </w:rPr>
        <w:t>means: (1) in the case of a corporation, corporate stock; (2) in the case of an association or business entity,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interests, participations, rights or other equivalents (however designated) of corporate stock; (3) in the case of a partnership or limited liability company, partnership or membership interests (whether general or limited); and (4) any other interest or participation that confers on a Person the right to receive a share of the profits and losses of, or distributions of assets of, the issuing Person.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means: (1) United States dollars, pounds sterling, euros, or the national currency of any member state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as of the date of this Indenture; (2) securities issued or directly and fully guaranteed or insured by the United States government,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of the United Kingdom, or the government of Switzerland, or any country that is a member of the European Union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or any agency or instrumentality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of such government is pledged in support thereof)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maturing not more than two years from the date of acquisition; (3) securities issued by any state of the United States or any political subdivision of any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or any public instrumentality thereof maturing within one year of the date of acquisition thereof and, at the time of acquisition, having the highest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rating obtainable from either S&amp;P or Moody’s; (4) certificates of deposit, time deposits, euro time deposits, overnight bank deposits or bankers’ acceptances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having maturities of one year or less from the date of acquisition thereof, and overnight bank deposits, in each case, with any lender under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any domestic commercial bank having capital and surplus of not less than $250.0 million; (5) repurchase and reverse repurchase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underlying securities of the types described in clauses (2) and (4) above entered into with any financial institution meeting the qualifications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(4) above; (6) commercial paper having one of the two highest ratings obtainable from Moody’s or S&amp;P and in each case maturing within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date of creation thereof; (7) Indebtedness or preferred stock issued by Persons with a rating of “BBB-” or higher from S&amp;P or “Baa3” or higher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Moody’s (or, if at the time, neither is issuing comparable ratings, then a comparable rating of another Rating Agency) with maturities of 12 months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from the date of acquisition; (8) bills of exchange issued in the United States, the United Kingdom or Switzerland, or any country that is a member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European Union as of the date of this Indenture eligible for rediscount at the relevant central bank and accepted by a bank (or any dematerialized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 and (9) interests in any investment company or money market fund which invests 95% or more of its assets in instruments of the types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clauses (1) through (8)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i w:val="1"/>
          <w:iCs w:val="1"/>
          <w:color w:val="auto"/>
        </w:rPr>
        <w:t xml:space="preserve">“Change of Control” </w:t>
      </w:r>
      <w:r>
        <w:rPr>
          <w:rFonts w:ascii="Times New Roman" w:cs="Times New Roman" w:eastAsia="Times New Roman" w:hAnsi="Times New Roman"/>
          <w:sz w:val="17"/>
          <w:szCs w:val="17"/>
          <w:color w:val="auto"/>
        </w:rPr>
        <w:t>means the occurrence of the following: any “person” or group (as such terms are used in Sections 13(d) and 14(d)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Act or any successor provision), including any group acting for the purpose of acquiring, holding or disposing of securities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Rule 13d-5(b)(1) under the Exchange Act), in a single transaction or in a related series of transactions, by way of merger, consolidation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or purchase of beneficial ownership (within the meaning of Rule 13d-3 under the Exchange Act, or any successor provision),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 Parent, becomes the “beneficial owner” (as defined in Rules 13d-3 and 13d-5 under the Exchange Act), directly or indirectly, of more than 50%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total voting power of the Voting Stock of OI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OI Group is a Subsidiary of any Parent, no “person” shall be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become a “beneficial owner” of more than 50% of the total voting power of the Voting Stock of OI Group unless such “person” shall be or become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 of more than 50% of the total voting power of the Voting Stock of such Parent (other than a Parent that is a Subsidiary of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“Clearstream” </w:t>
      </w:r>
      <w:r>
        <w:rPr>
          <w:rFonts w:ascii="Times New Roman" w:cs="Times New Roman" w:eastAsia="Times New Roman" w:hAnsi="Times New Roman"/>
          <w:sz w:val="18"/>
          <w:szCs w:val="18"/>
          <w:color w:val="auto"/>
        </w:rPr>
        <w:t>means Clearstream Banking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“Collateral Documents” </w:t>
      </w:r>
      <w:r>
        <w:rPr>
          <w:rFonts w:ascii="Times New Roman" w:cs="Times New Roman" w:eastAsia="Times New Roman" w:hAnsi="Times New Roman"/>
          <w:sz w:val="18"/>
          <w:szCs w:val="18"/>
          <w:color w:val="auto"/>
        </w:rPr>
        <w:t>means, collectively, the Intercreditor Agreement, the Pledge Agreement and the Security Agreement, each as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the Issue Date and as amended, amended and restated, modified, renewed, replaced or otherwise restructured from time to time (whether with the original administrative agent or collateral agents, as applicable, or another agent or agents).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“Commission” </w:t>
      </w:r>
      <w:r>
        <w:rPr>
          <w:rFonts w:ascii="Times New Roman" w:cs="Times New Roman" w:eastAsia="Times New Roman" w:hAnsi="Times New Roman"/>
          <w:sz w:val="18"/>
          <w:szCs w:val="18"/>
          <w:color w:val="auto"/>
        </w:rPr>
        <w:t>means the U.S.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“Company” </w:t>
      </w:r>
      <w:r>
        <w:rPr>
          <w:rFonts w:ascii="Times New Roman" w:cs="Times New Roman" w:eastAsia="Times New Roman" w:hAnsi="Times New Roman"/>
          <w:sz w:val="18"/>
          <w:szCs w:val="18"/>
          <w:color w:val="auto"/>
        </w:rPr>
        <w:t>means the party named as such above until a successor replaces it pursuant to this Indenture and thereafter means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Existing Senior Notes</w:t>
      </w:r>
      <w:r>
        <w:rPr>
          <w:rFonts w:ascii="Times New Roman" w:cs="Times New Roman" w:eastAsia="Times New Roman" w:hAnsi="Times New Roman"/>
          <w:sz w:val="18"/>
          <w:szCs w:val="18"/>
          <w:color w:val="auto"/>
        </w:rPr>
        <w:t>” means the Company’s 6.625% Senior Notes due 2027, the Company’s 7.250%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Company’s 7.375% Senior Notes due 2032.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“Corporate Trust Office” </w:t>
      </w:r>
      <w:r>
        <w:rPr>
          <w:rFonts w:ascii="Times New Roman" w:cs="Times New Roman" w:eastAsia="Times New Roman" w:hAnsi="Times New Roman"/>
          <w:sz w:val="18"/>
          <w:szCs w:val="18"/>
          <w:color w:val="auto"/>
        </w:rPr>
        <w:t>shall mean the corporate trust office of the Trustee, which shall initially be Regions Bank, Corporate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51 W Bay Street, 2nd Floor, Jacksonville, Florida 32202, or such other address as to which the Trustee may give notice to the Company.  </w:t>
      </w:r>
    </w:p>
    <w:p>
      <w:pPr>
        <w:spacing w:after="0" w:line="20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“Credit Agreement” </w:t>
      </w:r>
      <w:r>
        <w:rPr>
          <w:rFonts w:ascii="Times New Roman" w:cs="Times New Roman" w:eastAsia="Times New Roman" w:hAnsi="Times New Roman"/>
          <w:sz w:val="18"/>
          <w:szCs w:val="18"/>
          <w:color w:val="auto"/>
        </w:rPr>
        <w:t>means the Amended and Restated Credit Agreement and Syndicated Facility Agreement, dated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and among the borrowers named therein, OI Group, Wells Fargo Bank, National Association, as administrative agent and as collateral agent, the arrangers named therein, the other agents, the overdraft/swingline providers named therein or party thereto and the lenders named therein or party thereto, including any related notes, guarantees, collateral documents, instruments and agreements executed in connection therewith, and in each case as amended, amended and restated, modified, supplemented, renewed, refunded, replaced, substituted or refinanced or otherwise restructured (including but not limited to, the inclusion of additional borrowers thereunder and increasing the amount of available borrowings thereunder) from time to time.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means any event that is, or with the passage of time or the giving of notice or both would be, an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“Definitive Security” or “Definitive Securities” </w:t>
      </w:r>
      <w:r>
        <w:rPr>
          <w:rFonts w:ascii="Times New Roman" w:cs="Times New Roman" w:eastAsia="Times New Roman" w:hAnsi="Times New Roman"/>
          <w:sz w:val="18"/>
          <w:szCs w:val="18"/>
          <w:color w:val="auto"/>
        </w:rPr>
        <w:t>means a certificated Note registered in the name of the Holder thereof and issued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Section 2.06 hereof, except that such Note shall not bear the Global Security Legend and shall not have a “Schedule of Exchanges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the Global Security” attached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“Depositary” </w:t>
      </w:r>
      <w:r>
        <w:rPr>
          <w:rFonts w:ascii="Times New Roman" w:cs="Times New Roman" w:eastAsia="Times New Roman" w:hAnsi="Times New Roman"/>
          <w:sz w:val="18"/>
          <w:szCs w:val="18"/>
          <w:color w:val="auto"/>
        </w:rPr>
        <w:t>means, with respect to the Notes issuable or issued in whole or in part in global form, the person designated as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such Notes by the Company, which Depositary shall be a clearing agency registered under the Exchange Act.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“Derivative Instrument” </w:t>
      </w:r>
      <w:r>
        <w:rPr>
          <w:rFonts w:ascii="Times New Roman" w:cs="Times New Roman" w:eastAsia="Times New Roman" w:hAnsi="Times New Roman"/>
          <w:sz w:val="18"/>
          <w:szCs w:val="18"/>
          <w:color w:val="auto"/>
        </w:rPr>
        <w:t>means, with respect to a Person, any contract, instrument or other right to receive payment or delivery of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to which such Person or any Affiliate of such Person that is acting in concert with such Person in connection with such Person’s investment in the Notes (other than a Regulated Bank or Screened Affiliate) is a party (whether or not requiring further performance by such Person), the value and/or cash flows of which (or any material portion thereof) are materially affected by the value and/or performance of the Notes and/or the creditworthiness of the Company and/or any one or more of the Guarantors (the “</w:t>
      </w:r>
      <w:r>
        <w:rPr>
          <w:rFonts w:ascii="Times New Roman" w:cs="Times New Roman" w:eastAsia="Times New Roman" w:hAnsi="Times New Roman"/>
          <w:sz w:val="18"/>
          <w:szCs w:val="18"/>
          <w:i w:val="1"/>
          <w:iCs w:val="1"/>
          <w:color w:val="auto"/>
        </w:rPr>
        <w:t>Performance References</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“Domestic Subsidiary” </w:t>
      </w:r>
      <w:r>
        <w:rPr>
          <w:rFonts w:ascii="Times New Roman" w:cs="Times New Roman" w:eastAsia="Times New Roman" w:hAnsi="Times New Roman"/>
          <w:sz w:val="18"/>
          <w:szCs w:val="18"/>
          <w:color w:val="auto"/>
        </w:rPr>
        <w:t>means any Restricted Subsidiary of OI Group other than a Foreign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“EDGAR filing system” </w:t>
      </w:r>
      <w:r>
        <w:rPr>
          <w:rFonts w:ascii="Times New Roman" w:cs="Times New Roman" w:eastAsia="Times New Roman" w:hAnsi="Times New Roman"/>
          <w:sz w:val="18"/>
          <w:szCs w:val="18"/>
          <w:color w:val="auto"/>
        </w:rPr>
        <w:t>means the Electronic Data Gathering, Analysis and Retrieval computer system created by the Commission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filing of reports with the Commission, or any successor filing system of the Commission.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“Equity Offering” </w:t>
      </w:r>
      <w:r>
        <w:rPr>
          <w:rFonts w:ascii="Times New Roman" w:cs="Times New Roman" w:eastAsia="Times New Roman" w:hAnsi="Times New Roman"/>
          <w:sz w:val="18"/>
          <w:szCs w:val="18"/>
          <w:color w:val="auto"/>
        </w:rPr>
        <w:t>means any public or private sale of common stock of OI Glass or any Parent (other than public offerings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common stock registered on Form S-8 or otherwise relating to equity securities issuable under any employee benefit plan of OI Glass or any Parent).  </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 xml:space="preserve">“ERISA Legend” </w:t>
      </w:r>
      <w:r>
        <w:rPr>
          <w:rFonts w:ascii="Times New Roman" w:cs="Times New Roman" w:eastAsia="Times New Roman" w:hAnsi="Times New Roman"/>
          <w:sz w:val="18"/>
          <w:szCs w:val="18"/>
          <w:color w:val="auto"/>
        </w:rPr>
        <w:t>means the legend set forth in Section 2.06(f)(iv) to be placed on all Notes issued under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“Euroclear” </w:t>
      </w:r>
      <w:r>
        <w:rPr>
          <w:rFonts w:ascii="Times New Roman" w:cs="Times New Roman" w:eastAsia="Times New Roman" w:hAnsi="Times New Roman"/>
          <w:sz w:val="18"/>
          <w:szCs w:val="18"/>
          <w:color w:val="auto"/>
        </w:rPr>
        <w:t>means Euroclear Bank, SA/NV.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U.S. Securities Exchange Act of 1934, as amended, and the rules and regulations of the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Senior Notes</w:t>
      </w:r>
      <w:r>
        <w:rPr>
          <w:rFonts w:ascii="Times New Roman" w:cs="Times New Roman" w:eastAsia="Times New Roman" w:hAnsi="Times New Roman"/>
          <w:sz w:val="18"/>
          <w:szCs w:val="18"/>
          <w:color w:val="auto"/>
        </w:rPr>
        <w:t>” means the Company Existing Senior Notes and the OIEG Existing Senior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means, with respect to any asset or property, the price which could be negotiated in an arm’s-length transaction,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between a willing seller and a willing and able buyer, neither of whom is under pressure or compulsion to complete the transaction.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Restricted Subsidiary of OI Group which is organized under the laws of a jurisdiction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 any State thereof or the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set forth in the opinions and pronouncements of the Accounting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 provided that at any date after the Issue Date, the Company may by written notice to the Trustee make an election to establish that GAAP means GAAP as in effect on a date that is after the Issue Date and on or prior to the date of such election.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means a Note issued to evidence all or a part of the Notes that is executed by the Company and authenticated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 Trustee to a Depositary or pursuant to such Depositary’s instructions, all in accordance with this Indenture and pursuant to Sections 2.01, 2.02, 2.06(d) or 2.06(g), which shall be registered as to principal and interest in the name of such Depositary or its nominee.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 Legend</w:t>
      </w:r>
      <w:r>
        <w:rPr>
          <w:rFonts w:ascii="Times New Roman" w:cs="Times New Roman" w:eastAsia="Times New Roman" w:hAnsi="Times New Roman"/>
          <w:sz w:val="18"/>
          <w:szCs w:val="18"/>
          <w:color w:val="auto"/>
        </w:rPr>
        <w:t>” means the legend set forth in Section 2.06(f)(ii) which is required to be placed on all Global Securities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“Government Securities” </w:t>
      </w:r>
      <w:r>
        <w:rPr>
          <w:rFonts w:ascii="Times New Roman" w:cs="Times New Roman" w:eastAsia="Times New Roman" w:hAnsi="Times New Roman"/>
          <w:sz w:val="18"/>
          <w:szCs w:val="18"/>
          <w:color w:val="auto"/>
        </w:rPr>
        <w:t>means direct obligations of, or obligations guaranteed by, the United States, and the payment for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pledges its full faith and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“Guarantee” </w:t>
      </w:r>
      <w:r>
        <w:rPr>
          <w:rFonts w:ascii="Times New Roman" w:cs="Times New Roman" w:eastAsia="Times New Roman" w:hAnsi="Times New Roman"/>
          <w:sz w:val="18"/>
          <w:szCs w:val="18"/>
          <w:color w:val="auto"/>
        </w:rPr>
        <w:t>means a guarantee other than by endorsement of negotiable instruments for collection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or indirect, in any manner including, without limitation, through letters of credit or reimbursement agreements in respect thereof, of all or any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“Guarantors” </w:t>
      </w:r>
      <w:r>
        <w:rPr>
          <w:rFonts w:ascii="Times New Roman" w:cs="Times New Roman" w:eastAsia="Times New Roman" w:hAnsi="Times New Roman"/>
          <w:sz w:val="18"/>
          <w:szCs w:val="18"/>
          <w:color w:val="auto"/>
        </w:rPr>
        <w:t>means: (1) OI Group; (2) each direct or indirect Domestic Subsidiary of OI Group (other than the Company)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guarantees the Credit Agreement as of the Issue Date; and (3) each future direct or indirect Domestic Subsidiary of OI Group that guarantees the Credit Agreement or other Subsidiary of OI Group that is otherwise required to Guarantee the Notes pursuant to this Indenture and, in each case, executes a Guarantee of the Notes in accordance with the provisions of this Indenture; and their respective successors and assigns.  </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“Hedging Obligations” </w:t>
      </w:r>
      <w:r>
        <w:rPr>
          <w:rFonts w:ascii="Times New Roman" w:cs="Times New Roman" w:eastAsia="Times New Roman" w:hAnsi="Times New Roman"/>
          <w:sz w:val="18"/>
          <w:szCs w:val="18"/>
          <w:color w:val="auto"/>
        </w:rPr>
        <w:t>means, with respect to any specified Person, the obligations of such Person under: (1) interest rate swap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interest rate cap agreements, interest rate collar agreements and other agreements or arrangements designed to protect such Person against fluctuations in interest rates; (2) currency exchange swap agreements, currency exchange cap agreements, currency exchange collar agreements and other agreements or arrangements designed to protect such Person against fluctuations in currency values; and (3) commodity swap agreements, commodity cap agreements, commodity collar agreements and other agreements or arrangements designed to protect such Person against fluctuations in commodity prices.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means a Person in whose name a Note is registered on the Registrar’s books.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with respect to any specified Person, any indebtedness of such Person, whether or not contingent,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borrowed money; (2) evidenced by bonds, notes, debentures or similar instruments or letters of credit (or reimbursement agreements in respect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banker’s acceptances; (4) representing Capital Lease Obligations; (5) the balance deferred and unpaid of the purchase price of any property, except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balance that constitutes an accrued liability or trade payable; or (6) representing any Hedging Obligations, if and to the extent any of the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(other than letters of credit and Hedging Obligations) would appear as a liability upon a balance sheet of the specified Person prepared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GAAP. In addition, the term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includes the lesser of the Fair Market Value on the date of incurrence of any asset of the specified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 Lien securing the Indebtedness of others and the amount of such Indebtedness secured and, to the extent not otherwise included, the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specified Person of any indebtedness of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The term “Indebtedness” shall not include any lease, concession or license of property (or guarantee thereof) which would have been considered an operating lease under GAAP prior to the issuance of FASB ASU No. 2016-02, or any asset retirement obligations, any prepayments of deposits received from clients or customers in the ordinary course of business, or obligations under any license, permit or other approval (or guarantees given in respect of such obligations) incurred prior to the Issue Date or in the ordinary course of business or any obligations in respect of workers’ compensation claims, early retirement settlement or termination obligations, pension fund obligations or contributions or similar claims, contributions or obligations. For the avoidance of doubt and notwithstanding the above, the term “Indebtedness” excludes (1) any accrued expenses and trade payables and (2) any letter of credit or analogous instrument to the extent it has not been drawn upon.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The amount of any Indebtedness outstanding as of any date shall be: (1) the accreted value thereof, in the case of any Indebtedness issued with original issue discount; and (2) the principal amount thereof, in the case of any other Indebtedness.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means this Indenture, as amended or supplemented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“Indirect Participant” </w:t>
      </w:r>
      <w:r>
        <w:rPr>
          <w:rFonts w:ascii="Times New Roman" w:cs="Times New Roman" w:eastAsia="Times New Roman" w:hAnsi="Times New Roman"/>
          <w:sz w:val="18"/>
          <w:szCs w:val="18"/>
          <w:color w:val="auto"/>
        </w:rPr>
        <w:t>means a Person who holds a beneficial interest in a Global Security through a 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“Initial Notes” </w:t>
      </w:r>
      <w:r>
        <w:rPr>
          <w:rFonts w:ascii="Times New Roman" w:cs="Times New Roman" w:eastAsia="Times New Roman" w:hAnsi="Times New Roman"/>
          <w:sz w:val="18"/>
          <w:szCs w:val="18"/>
          <w:color w:val="auto"/>
        </w:rPr>
        <w:t>has the meaning set forth in the recitals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“Intercreditor Agreement” </w:t>
      </w:r>
      <w:r>
        <w:rPr>
          <w:rFonts w:ascii="Times New Roman" w:cs="Times New Roman" w:eastAsia="Times New Roman" w:hAnsi="Times New Roman"/>
          <w:sz w:val="18"/>
          <w:szCs w:val="18"/>
          <w:color w:val="auto"/>
        </w:rPr>
        <w:t>means the Amended and Restated Intercreditor Agreement, dated as of September 30, 2025, by and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Wells Fargo Bank, National Association, as administrative agent and collateral agent for the lenders party to the Credit Agreement, and any other parties thereto, as amended, amended and restated, supplemented, replaced or otherwise modified from time to time.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“Issue Date” </w:t>
      </w:r>
      <w:r>
        <w:rPr>
          <w:rFonts w:ascii="Times New Roman" w:cs="Times New Roman" w:eastAsia="Times New Roman" w:hAnsi="Times New Roman"/>
          <w:sz w:val="18"/>
          <w:szCs w:val="18"/>
          <w:color w:val="auto"/>
        </w:rPr>
        <w:t>means May 18,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means, with respect to any asset, any mortgage, lien, pledge, charge, security interest or encumbrance of any kind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asset, whether or not filed, recorded or otherwise perfected under applicable law, including any conditional sale or other title retention agreement,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 the nature thereof and any agreement to give any security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when used with respect to any Note, means the date on which the Principal of such Note or an installment of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becomes due and payable as therein or herein provided, whether at Stated Maturity or by declaration of acceleration, call for redemption or otherwise.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or any successor rating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Short” </w:t>
      </w:r>
      <w:r>
        <w:rPr>
          <w:rFonts w:ascii="Times New Roman" w:cs="Times New Roman" w:eastAsia="Times New Roman" w:hAnsi="Times New Roman"/>
          <w:sz w:val="18"/>
          <w:szCs w:val="18"/>
          <w:color w:val="auto"/>
        </w:rPr>
        <w:t>means with respect to a Holder or beneficial owner, as of a date of determination, either (i) the value of its Short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or any Guarantor immediately prior to such date of determination.  </w:t>
      </w:r>
    </w:p>
    <w:p>
      <w:pPr>
        <w:spacing w:after="0" w:line="207"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Tangible Assets” </w:t>
      </w:r>
      <w:r>
        <w:rPr>
          <w:rFonts w:ascii="Times New Roman" w:cs="Times New Roman" w:eastAsia="Times New Roman" w:hAnsi="Times New Roman"/>
          <w:sz w:val="18"/>
          <w:szCs w:val="18"/>
          <w:color w:val="auto"/>
        </w:rPr>
        <w:t>means Tangible Assets minus all current liabilities of OI Group and its Restricted Subsidiaries reflected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recent balance sheet of OI Group (excluding any current liabilities for borrowed money having a maturity of less than 12 months but by its terms being renewable or extendible beyond 12 months from such date at the option of the borrower).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“Non-U.S. Person” </w:t>
      </w:r>
      <w:r>
        <w:rPr>
          <w:rFonts w:ascii="Times New Roman" w:cs="Times New Roman" w:eastAsia="Times New Roman" w:hAnsi="Times New Roman"/>
          <w:sz w:val="18"/>
          <w:szCs w:val="18"/>
          <w:color w:val="auto"/>
        </w:rPr>
        <w:t>means a Person who is not a U.S.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“Notes” </w:t>
      </w:r>
      <w:r>
        <w:rPr>
          <w:rFonts w:ascii="Times New Roman" w:cs="Times New Roman" w:eastAsia="Times New Roman" w:hAnsi="Times New Roman"/>
          <w:sz w:val="18"/>
          <w:szCs w:val="18"/>
          <w:color w:val="auto"/>
        </w:rPr>
        <w:t>means, collectively, the Initial Notes and any Additional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“obligor” </w:t>
      </w:r>
      <w:r>
        <w:rPr>
          <w:rFonts w:ascii="Times New Roman" w:cs="Times New Roman" w:eastAsia="Times New Roman" w:hAnsi="Times New Roman"/>
          <w:sz w:val="18"/>
          <w:szCs w:val="18"/>
          <w:color w:val="auto"/>
        </w:rPr>
        <w:t>on the Notes means the Company, the Guarantors and any successor obligors on the Notes and the Guarantees of the Notes,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“Offering Memorandum” </w:t>
      </w:r>
      <w:r>
        <w:rPr>
          <w:rFonts w:ascii="Times New Roman" w:cs="Times New Roman" w:eastAsia="Times New Roman" w:hAnsi="Times New Roman"/>
          <w:sz w:val="18"/>
          <w:szCs w:val="18"/>
          <w:color w:val="auto"/>
        </w:rPr>
        <w:t>means the Offering Memorandum, dated May 4, 2026, relating to the sale of the Initial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“Officer” </w:t>
      </w:r>
      <w:r>
        <w:rPr>
          <w:rFonts w:ascii="Times New Roman" w:cs="Times New Roman" w:eastAsia="Times New Roman" w:hAnsi="Times New Roman"/>
          <w:sz w:val="18"/>
          <w:szCs w:val="18"/>
          <w:color w:val="auto"/>
        </w:rPr>
        <w:t>means the Chairman of the Board, the Chief Executive Officer, the President, the Chief Operating Officer, the Chief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any Executive or Senior Vice President, any Vice-President, the Treasurer, the Controller, the Secretary, any Assistant Treasurer or any Assistant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OI Group or the Company,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means a certificate signed by two Officers, one of whom must be the Chief Executive Officer, the President,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the Treasurer or the principal accounting officer of OI Group or the Company, as the case may be.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“OIEG” </w:t>
      </w:r>
      <w:r>
        <w:rPr>
          <w:rFonts w:ascii="Times New Roman" w:cs="Times New Roman" w:eastAsia="Times New Roman" w:hAnsi="Times New Roman"/>
          <w:sz w:val="18"/>
          <w:szCs w:val="18"/>
          <w:color w:val="auto"/>
        </w:rPr>
        <w:t>means OI European Group B.V., an indirect, wholly owned subsidiary of OI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“OIEG Existing Senior Notes” </w:t>
      </w:r>
      <w:r>
        <w:rPr>
          <w:rFonts w:ascii="Times New Roman" w:cs="Times New Roman" w:eastAsia="Times New Roman" w:hAnsi="Times New Roman"/>
          <w:sz w:val="18"/>
          <w:szCs w:val="18"/>
          <w:color w:val="auto"/>
        </w:rPr>
        <w:t>means OIEG’s 6.250% Senior Notes due 2028, OIEG’s 5.250% Senior Notes due 2029 and OIEG’s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4.750% Senior Notes due 2030.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“OI Glass” </w:t>
      </w:r>
      <w:r>
        <w:rPr>
          <w:rFonts w:ascii="Times New Roman" w:cs="Times New Roman" w:eastAsia="Times New Roman" w:hAnsi="Times New Roman"/>
          <w:sz w:val="18"/>
          <w:szCs w:val="18"/>
          <w:color w:val="auto"/>
        </w:rPr>
        <w:t>means O-I Glass,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“OI Group” </w:t>
      </w:r>
      <w:r>
        <w:rPr>
          <w:rFonts w:ascii="Times New Roman" w:cs="Times New Roman" w:eastAsia="Times New Roman" w:hAnsi="Times New Roman"/>
          <w:sz w:val="18"/>
          <w:szCs w:val="18"/>
          <w:color w:val="auto"/>
        </w:rPr>
        <w:t>means Owens-Illinois Group, Inc., a Delaware corporation, and its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“Opinion of Counsel” </w:t>
      </w:r>
      <w:r>
        <w:rPr>
          <w:rFonts w:ascii="Times New Roman" w:cs="Times New Roman" w:eastAsia="Times New Roman" w:hAnsi="Times New Roman"/>
          <w:sz w:val="18"/>
          <w:szCs w:val="18"/>
          <w:color w:val="auto"/>
        </w:rPr>
        <w:t>means a written opinion from legal counsel who is reasonably acceptable to the Trustee. The counsel may be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of or counsel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“Parent” </w:t>
      </w:r>
      <w:r>
        <w:rPr>
          <w:rFonts w:ascii="Times New Roman" w:cs="Times New Roman" w:eastAsia="Times New Roman" w:hAnsi="Times New Roman"/>
          <w:sz w:val="18"/>
          <w:szCs w:val="18"/>
          <w:color w:val="auto"/>
        </w:rPr>
        <w:t>means any of OI Glass and any Other Parent and any other Person that is a Subsidiary of OI Glass or any Other Parent and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OI Group is a Subsidiary. As used herein, “</w:t>
      </w:r>
      <w:r>
        <w:rPr>
          <w:rFonts w:ascii="Times New Roman" w:cs="Times New Roman" w:eastAsia="Times New Roman" w:hAnsi="Times New Roman"/>
          <w:sz w:val="18"/>
          <w:szCs w:val="18"/>
          <w:i w:val="1"/>
          <w:iCs w:val="1"/>
          <w:color w:val="auto"/>
        </w:rPr>
        <w:t>Other Parent</w:t>
      </w:r>
      <w:r>
        <w:rPr>
          <w:rFonts w:ascii="Times New Roman" w:cs="Times New Roman" w:eastAsia="Times New Roman" w:hAnsi="Times New Roman"/>
          <w:sz w:val="18"/>
          <w:szCs w:val="18"/>
          <w:color w:val="auto"/>
        </w:rPr>
        <w:t>” means a Person of which OI Group becomes a Subsidiary after the Issue Date; provided that immediately after OI Group first becomes a Subsidiary of such Person, more than 50% of the Voting Stock of such Person shall be held by one or more Persons that held more than 50% of the Voting Stock of OI Group or a Parent of OI Group immediately prior to OI Group first becoming such Subsidiary.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means, with respect to the Depositary, a Person who has an account with such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“Permitted Liens” </w:t>
      </w:r>
      <w:r>
        <w:rPr>
          <w:rFonts w:ascii="Times New Roman" w:cs="Times New Roman" w:eastAsia="Times New Roman" w:hAnsi="Times New Roman"/>
          <w:sz w:val="18"/>
          <w:szCs w:val="18"/>
          <w:color w:val="auto"/>
        </w:rPr>
        <w:t>means: (1) Liens arising under the Collateral Documents on the Issue Date; (2) Liens incurred after the Issue Date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assets (including shares of Capital Stock and Indebtedness) of OI Group or any Restricted Subsidiary of OI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amount of Indebtedness at any time outstanding secured by such Liens pursuant to clause (1) above and this clause (2) shall not exceed the sum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billion plus 50% of Tangible Assets acquired by OI Group or any Restricted Subsidiary of OI Group after August 24, 2015; (3) Liens in favor of OI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or any Restricted Subsidiary of OI Group; (4) Liens on property or shares of Capital Stock of a Person existing at the time such Person is merged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or into or consolidated with OI Group or any Restricted Subsidiary of OI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were not incurred in connection with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contemplation of such merger or consolidation and extend only to the assets of the Person merged into or consolidated with OI Group or the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(5) Liens on property or shares of Capital Stock existing at the time of acquisition thereof by OI Group or any Restricted Subsidiary of OI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were not incurred in connection with or in contemplation of such acquisition and do not extend to any property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so acquired by OI Group or the Restricted Subsidiary; (6) Liens on property or shares of Capital Stock of any Foreign Subsidiary,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Capital Stock of any Foreign Subsidiary owned by a Domestic Subsidiary, to secure Indebtedness of a Foreign Subsidiary; (7) Liens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and renewals thereof) upon real or personal (whether tangible or intangible) property acquired after the Issue Date, provided that such Lien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created solely for the purpose of securing Indebtedness incurred to finance all or any part of the purchase price or cost of construction or improvement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or equipment subject thereto and such Lien is created prior to, at the time of or within 12 months after (or created pursuant to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financing arrangements obtained within that period) the later of (a) the acquisition, the completion of construction or completion of substantial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reconstruction, renovation, remodeling, expansion or improvement (each, a “</w:t>
      </w:r>
      <w:r>
        <w:rPr>
          <w:rFonts w:ascii="Times New Roman" w:cs="Times New Roman" w:eastAsia="Times New Roman" w:hAnsi="Times New Roman"/>
          <w:sz w:val="18"/>
          <w:szCs w:val="18"/>
          <w:i w:val="1"/>
          <w:iCs w:val="1"/>
          <w:color w:val="auto"/>
        </w:rPr>
        <w:t>substantial improvement</w:t>
      </w:r>
      <w:r>
        <w:rPr>
          <w:rFonts w:ascii="Times New Roman" w:cs="Times New Roman" w:eastAsia="Times New Roman" w:hAnsi="Times New Roman"/>
          <w:sz w:val="18"/>
          <w:szCs w:val="18"/>
          <w:color w:val="auto"/>
        </w:rPr>
        <w:t>”) or (b) the commencement of full operation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or equipment after the acquisition or completion of any such construction or substantial improvement, or to refinance any such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so secured; (8) Liens to secure Indebtedness under any Capital Lease Obligation, other than any Capital Lease Obligation resulting from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and Leaseback Transaction (unless the Sale and Leaseback Transaction is not subject to the limitation in Section 4.10(a) pursuant to Section 4.10(b)),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Liens arising from the interest or title of a lessor under any Capital Lease Obligation; (9) Liens encumbering customary initial deposits and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(10) Liens securing Indebtedness under or in respect of Hedging Obligations; (11) Liens arising out of conditional sale, title retention,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consignment or similar arrangements for the sale of goods entered into in the ordinary course of business of OI Group and its Restricted Subsidiaries;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on or sales of receivables and customary cash reserves established in connection therewith; (13) Liens securing obligations in respect of bankers’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acceptances issued or created to facilitate the purchase, shipment or storage of inventory or other goods; (14) Liens for taxes, assessments or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or claims that are not yet delinquent or that are being contested in good faith by appropriate proceedings promptly instituted and diligently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concluded, provided that any reserve or other appropriate provision as shall be required in conformity with GAAP shall have been made therefor;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securing or arising by reason of any netting or set-off arrangement entered into in the ordinary course of banking or other trading activities, or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cash accounts securing cash management services (including overdrafts), to implement cash pooling arrangements or to cash-collateralize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(16) any encumbrance or restriction (including put and call arrangements) with respect to Capital Stock of any joint venture or similar arrangement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any joint venture or similar agreement; and (17) Liens on cash, Cash Equivalents or other property arising in connection with the defeasance,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discharge or redemption of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any individual, corporation, partnership, joint venture, association, joint-stock company, trust, unincorporated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limited liability company or government or other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“Pledge Agreement” </w:t>
      </w:r>
      <w:r>
        <w:rPr>
          <w:rFonts w:ascii="Times New Roman" w:cs="Times New Roman" w:eastAsia="Times New Roman" w:hAnsi="Times New Roman"/>
          <w:sz w:val="18"/>
          <w:szCs w:val="18"/>
          <w:color w:val="auto"/>
        </w:rPr>
        <w:t>means the Pledge Agreement, dated as of March 25, 2022, by and among OI Group, Owens-Brockway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Inc. and Wells Fargo Bank, National Association, as collateral agent, as amended by that certain Amendment No. 1 to the Credit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Syndicated Facility Agreement, dated August 30, 2022, as supplemented by that certain Reaffirmation Agreement, dated as of September 30,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Reaffirmation Agreement</w:t>
      </w:r>
      <w:r>
        <w:rPr>
          <w:rFonts w:ascii="Times New Roman" w:cs="Times New Roman" w:eastAsia="Times New Roman" w:hAnsi="Times New Roman"/>
          <w:sz w:val="18"/>
          <w:szCs w:val="18"/>
          <w:color w:val="auto"/>
        </w:rPr>
        <w:t>”), by and among OI Group, each of the direct and indirect subsidiaries of OI Group signatory thereto and Wells Fargo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Association, as administrative agent and collateral agent, and as further amended, amended and restated, supplemented, replaced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 xml:space="preserve">“Principal” </w:t>
      </w:r>
      <w:r>
        <w:rPr>
          <w:rFonts w:ascii="Times New Roman" w:cs="Times New Roman" w:eastAsia="Times New Roman" w:hAnsi="Times New Roman"/>
          <w:sz w:val="18"/>
          <w:szCs w:val="18"/>
          <w:color w:val="auto"/>
        </w:rPr>
        <w:t>of a Note means the principal amount due on the Maturity of the Note plus the premium, if any, on the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manufacturing plant or manufacturing facility owned (excluding any equipment or personalty located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by OI Group or any of its Restricted Subsidiaries located within the continental United States that has a net book value in excess of 1.5% of Net Tangible Assets. For purposes of this definition, net book value will be measured at the time the relevant Sale and Leaseback Transaction is entered into.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“Private Placement Legend” </w:t>
      </w:r>
      <w:r>
        <w:rPr>
          <w:rFonts w:ascii="Times New Roman" w:cs="Times New Roman" w:eastAsia="Times New Roman" w:hAnsi="Times New Roman"/>
          <w:sz w:val="18"/>
          <w:szCs w:val="18"/>
          <w:color w:val="auto"/>
        </w:rPr>
        <w:t>means the legend set forth in Section 2.06(f)(i) to be placed on all Notes issued under this Indenture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otherwise permitted by the provisions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“QIB” </w:t>
      </w:r>
      <w:r>
        <w:rPr>
          <w:rFonts w:ascii="Times New Roman" w:cs="Times New Roman" w:eastAsia="Times New Roman" w:hAnsi="Times New Roman"/>
          <w:sz w:val="18"/>
          <w:szCs w:val="18"/>
          <w:color w:val="auto"/>
        </w:rPr>
        <w:t>means a “qualified institutional buyer” as defined in Rule 144A.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“Rating Agency” </w:t>
      </w:r>
      <w:r>
        <w:rPr>
          <w:rFonts w:ascii="Times New Roman" w:cs="Times New Roman" w:eastAsia="Times New Roman" w:hAnsi="Times New Roman"/>
          <w:sz w:val="18"/>
          <w:szCs w:val="18"/>
          <w:color w:val="auto"/>
        </w:rPr>
        <w:t>means any of: (1) S&amp;P; (2) Moody’s; or (3) if S&amp;P or Moody’s or both shall not make a rating of the Notes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a security rating agency or agencies, as the case may be, nationally recognized in the United States, selected by the Company, which shall be substituted for S&amp;P or Moody’s or both, as the case may be, and, in each case, any successors thereto.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“Registrar” </w:t>
      </w:r>
      <w:r>
        <w:rPr>
          <w:rFonts w:ascii="Times New Roman" w:cs="Times New Roman" w:eastAsia="Times New Roman" w:hAnsi="Times New Roman"/>
          <w:sz w:val="18"/>
          <w:szCs w:val="18"/>
          <w:color w:val="auto"/>
        </w:rPr>
        <w:t>has the meaning specified in Section 2.03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“Regulated Bank” </w:t>
      </w:r>
      <w:r>
        <w:rPr>
          <w:rFonts w:ascii="Times New Roman" w:cs="Times New Roman" w:eastAsia="Times New Roman" w:hAnsi="Times New Roman"/>
          <w:sz w:val="18"/>
          <w:szCs w:val="18"/>
          <w:color w:val="auto"/>
        </w:rPr>
        <w:t>means an Approved Commercial Bank that is (i) a U.S. depository institution the deposits of which are insured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“Regulation S” </w:t>
      </w:r>
      <w:r>
        <w:rPr>
          <w:rFonts w:ascii="Times New Roman" w:cs="Times New Roman" w:eastAsia="Times New Roman" w:hAnsi="Times New Roman"/>
          <w:sz w:val="18"/>
          <w:szCs w:val="18"/>
          <w:color w:val="auto"/>
        </w:rPr>
        <w:t>means Regulation S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“Regulation S Global Security” or “Regulation S Global Securities” </w:t>
      </w:r>
      <w:r>
        <w:rPr>
          <w:rFonts w:ascii="Times New Roman" w:cs="Times New Roman" w:eastAsia="Times New Roman" w:hAnsi="Times New Roman"/>
          <w:sz w:val="18"/>
          <w:szCs w:val="18"/>
          <w:color w:val="auto"/>
        </w:rPr>
        <w:t>means any Global Security bearing the Global Security Legend,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Placement Legend and the Regulation S Legend and deposited with or on behalf of and registered in the name of the Depositary or its nominee, issued in a denomination equal to the outstanding principal amount of the Notes initially sold in reliance on Regulation 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“Regulation S Legend” </w:t>
      </w:r>
      <w:r>
        <w:rPr>
          <w:rFonts w:ascii="Times New Roman" w:cs="Times New Roman" w:eastAsia="Times New Roman" w:hAnsi="Times New Roman"/>
          <w:sz w:val="18"/>
          <w:szCs w:val="18"/>
          <w:color w:val="auto"/>
        </w:rPr>
        <w:t>means the legend set forth in Section 2.06(f)(iii) to be placed on all Notes issued or exchanged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pursuant to Regulation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when used with respect to the Trustee, means any officer or assistant officer of the Trustee (or any successor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including any director, associate director, assistant secretary or any other officer or assistant officer of the Trustee customarily performing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 similar to those performed by any of the above designated officers and also means, with respect to a particular corporate trust matter,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to whom such matter is referred because of his knowledge of and familiarity with the particular subject who shall also have direct responsibility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administration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“Restricted Definitive Security” </w:t>
      </w:r>
      <w:r>
        <w:rPr>
          <w:rFonts w:ascii="Times New Roman" w:cs="Times New Roman" w:eastAsia="Times New Roman" w:hAnsi="Times New Roman"/>
          <w:sz w:val="18"/>
          <w:szCs w:val="18"/>
          <w:color w:val="auto"/>
        </w:rPr>
        <w:t>means a Definitive Security bearing the Private Placement Legend and, if applicable, the Regulation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“Restricted Global Security” </w:t>
      </w:r>
      <w:r>
        <w:rPr>
          <w:rFonts w:ascii="Times New Roman" w:cs="Times New Roman" w:eastAsia="Times New Roman" w:hAnsi="Times New Roman"/>
          <w:sz w:val="18"/>
          <w:szCs w:val="18"/>
          <w:color w:val="auto"/>
        </w:rPr>
        <w:t>means a Global Security bearing the Private Placement Legend, and, if applicable, the Regulation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“Restricted Period” </w:t>
      </w:r>
      <w:r>
        <w:rPr>
          <w:rFonts w:ascii="Times New Roman" w:cs="Times New Roman" w:eastAsia="Times New Roman" w:hAnsi="Times New Roman"/>
          <w:sz w:val="18"/>
          <w:szCs w:val="18"/>
          <w:color w:val="auto"/>
        </w:rPr>
        <w:t>means, with respect to the Notes, the 40-day restricted period as defined in Regulation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of a Person means all Subsidiaries of the referent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“Rule 144” </w:t>
      </w:r>
      <w:r>
        <w:rPr>
          <w:rFonts w:ascii="Times New Roman" w:cs="Times New Roman" w:eastAsia="Times New Roman" w:hAnsi="Times New Roman"/>
          <w:sz w:val="18"/>
          <w:szCs w:val="18"/>
          <w:color w:val="auto"/>
        </w:rPr>
        <w:t>means Rule 144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“Rule 144A” </w:t>
      </w:r>
      <w:r>
        <w:rPr>
          <w:rFonts w:ascii="Times New Roman" w:cs="Times New Roman" w:eastAsia="Times New Roman" w:hAnsi="Times New Roman"/>
          <w:sz w:val="18"/>
          <w:szCs w:val="18"/>
          <w:color w:val="auto"/>
        </w:rPr>
        <w:t>means Rule 144A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“Rule 903” </w:t>
      </w:r>
      <w:r>
        <w:rPr>
          <w:rFonts w:ascii="Times New Roman" w:cs="Times New Roman" w:eastAsia="Times New Roman" w:hAnsi="Times New Roman"/>
          <w:sz w:val="18"/>
          <w:szCs w:val="18"/>
          <w:color w:val="auto"/>
        </w:rPr>
        <w:t>means Rule 903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“Rule 904” </w:t>
      </w:r>
      <w:r>
        <w:rPr>
          <w:rFonts w:ascii="Times New Roman" w:cs="Times New Roman" w:eastAsia="Times New Roman" w:hAnsi="Times New Roman"/>
          <w:sz w:val="18"/>
          <w:szCs w:val="18"/>
          <w:color w:val="auto"/>
        </w:rPr>
        <w:t>means Rule 904 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S&amp;P Global Ratings (a division of S&amp;P Global Inc.) or any successor rating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“Screened Affiliate” </w:t>
      </w:r>
      <w:r>
        <w:rPr>
          <w:rFonts w:ascii="Times New Roman" w:cs="Times New Roman" w:eastAsia="Times New Roman" w:hAnsi="Times New Roman"/>
          <w:sz w:val="18"/>
          <w:szCs w:val="18"/>
          <w:color w:val="auto"/>
        </w:rPr>
        <w:t>means any Affiliate of a Holder or, if the Holder is the Depositary or the Depositary’s nominee, of a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(i) that makes investment decisions independently from such Holder or beneficial owner and any other Affiliate of such Holder that is not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Screened Affiliate, (ii) that has in place customary information screens between it and such Holder or beneficial owner and any other Affiliate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or beneficial owner that is not a Screened Affiliate and such screens prohibit the sharing of information with respect to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(iii) whose investment policies are not directed by such Holder or beneficial owner or any other Affiliate of such Holder or beneficial owner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acting in concert with such Holder in connection with its investment in the Notes and (iv) whose investment decisions are not influenced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decisions of such Holder or beneficial owner or any other Affiliate of such Holder or beneficial owner that is acting in concert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or beneficial owners in connection with its investment in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U.S. Securities Act of 1933, as amended, and the rules and regulations of the Commission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“Security Agreement” </w:t>
      </w:r>
      <w:r>
        <w:rPr>
          <w:rFonts w:ascii="Times New Roman" w:cs="Times New Roman" w:eastAsia="Times New Roman" w:hAnsi="Times New Roman"/>
          <w:sz w:val="18"/>
          <w:szCs w:val="18"/>
          <w:color w:val="auto"/>
        </w:rPr>
        <w:t>means the Security Agreement, dated as of March 25, 2022, entered into by and among OI Group, 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and indirect subsidiaries of OI Group signatory thereto, each additional grantor that may become a party thereto, and Wells Fargo Bank,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collateral agent, as amended by that certain Amendment No. 1 to the Credit Agreement and Syndicated Facility Agreement,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30, 2022, as supplemented by the Reaffirmation Agreement, and as further amended, amended and restated, supplemented or replaced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“Short Derivative Instrument” </w:t>
      </w:r>
      <w:r>
        <w:rPr>
          <w:rFonts w:ascii="Times New Roman" w:cs="Times New Roman" w:eastAsia="Times New Roman" w:hAnsi="Times New Roman"/>
          <w:sz w:val="18"/>
          <w:szCs w:val="18"/>
          <w:color w:val="auto"/>
        </w:rPr>
        <w:t>means a Derivative Instrument (i) the value of which generally decreases, and/or the payment or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which generally increase, with positive changes to the Performance References and/or (ii) the value of which generally increases, and/or the payment or delivery obligations under which generally decrease, with negative changes to the Performance References.  </w:t>
      </w:r>
    </w:p>
    <w:p>
      <w:pPr>
        <w:spacing w:after="0" w:line="204"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“Significant Subsidiary” </w:t>
      </w:r>
      <w:r>
        <w:rPr>
          <w:rFonts w:ascii="Times New Roman" w:cs="Times New Roman" w:eastAsia="Times New Roman" w:hAnsi="Times New Roman"/>
          <w:sz w:val="18"/>
          <w:szCs w:val="18"/>
          <w:color w:val="auto"/>
        </w:rPr>
        <w:t>means any Restricted Subsidiary of OI Group that would be a “significant subsidiary” as defined in Article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1-02 of Regulation S-X promulgated pursuant to the Securities Act, as such Regulation is in effect as of the Issue Date.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“Specified New Senior Debt” </w:t>
      </w:r>
      <w:r>
        <w:rPr>
          <w:rFonts w:ascii="Times New Roman" w:cs="Times New Roman" w:eastAsia="Times New Roman" w:hAnsi="Times New Roman"/>
          <w:sz w:val="18"/>
          <w:szCs w:val="18"/>
          <w:color w:val="auto"/>
        </w:rPr>
        <w:t>means Specified New Senior Debt as defined in the Intercreditor Agreement or any substantially equivalent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or concept in the Intercreditor Agreement or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“Stated Maturity” </w:t>
      </w:r>
      <w:r>
        <w:rPr>
          <w:rFonts w:ascii="Times New Roman" w:cs="Times New Roman" w:eastAsia="Times New Roman" w:hAnsi="Times New Roman"/>
          <w:sz w:val="18"/>
          <w:szCs w:val="18"/>
          <w:color w:val="auto"/>
        </w:rPr>
        <w:t>means, with respect to any installment of interest or Principal on any series of Indebtedness, the date on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specified Person: (1) any corporation, association or other business entity of which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(2) any partnership (a) the sole general partner or the managing general partner of which is such Person or a Subsidiary of such Person or (b) the only general partners of which are such Person or one or more Subsidiaries of such Person (or any combination thereof).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“Tangible Assets” </w:t>
      </w:r>
      <w:r>
        <w:rPr>
          <w:rFonts w:ascii="Times New Roman" w:cs="Times New Roman" w:eastAsia="Times New Roman" w:hAnsi="Times New Roman"/>
          <w:sz w:val="18"/>
          <w:szCs w:val="18"/>
          <w:color w:val="auto"/>
        </w:rPr>
        <w:t>means the total consolidated assets,</w:t>
      </w:r>
      <w:r>
        <w:rPr>
          <w:rFonts w:ascii="Times New Roman" w:cs="Times New Roman" w:eastAsia="Times New Roman" w:hAnsi="Times New Roman"/>
          <w:sz w:val="18"/>
          <w:szCs w:val="18"/>
          <w:i w:val="1"/>
          <w:iCs w:val="1"/>
          <w:color w:val="auto"/>
        </w:rPr>
        <w:t xml:space="preserve"> less </w:t>
      </w:r>
      <w:r>
        <w:rPr>
          <w:rFonts w:ascii="Times New Roman" w:cs="Times New Roman" w:eastAsia="Times New Roman" w:hAnsi="Times New Roman"/>
          <w:sz w:val="18"/>
          <w:szCs w:val="18"/>
          <w:color w:val="auto"/>
        </w:rPr>
        <w:t>goodwill and intangibles, of OI Group and its Restricted Subsidiaries,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on the most recent balance sheet of OI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means to sell, assign, transfer, lease (other than pursuant to an operating lease entered into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convey or otherwise dispose of, including by sale and leaseback transaction, consolidation, merger, liquidation, dissolution or otherwise, in one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 series of related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“Trust Officer” </w:t>
      </w:r>
      <w:r>
        <w:rPr>
          <w:rFonts w:ascii="Times New Roman" w:cs="Times New Roman" w:eastAsia="Times New Roman" w:hAnsi="Times New Roman"/>
          <w:sz w:val="18"/>
          <w:szCs w:val="18"/>
          <w:color w:val="auto"/>
        </w:rPr>
        <w:t>means the Chairman of the Board, the President or any other officer or assistant officer of the Trustee assigned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to administer its corporate trust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means the party named as such above until a successor becomes such pursuant to this Indenture and thereafter means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each party who is then a trustee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“Unrestricted Definitive Securities” </w:t>
      </w:r>
      <w:r>
        <w:rPr>
          <w:rFonts w:ascii="Times New Roman" w:cs="Times New Roman" w:eastAsia="Times New Roman" w:hAnsi="Times New Roman"/>
          <w:sz w:val="18"/>
          <w:szCs w:val="18"/>
          <w:color w:val="auto"/>
        </w:rPr>
        <w:t>means one or more Definitive Securities that do not bear and are not required to bear the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“Unrestricted Global Security” </w:t>
      </w:r>
      <w:r>
        <w:rPr>
          <w:rFonts w:ascii="Times New Roman" w:cs="Times New Roman" w:eastAsia="Times New Roman" w:hAnsi="Times New Roman"/>
          <w:sz w:val="18"/>
          <w:szCs w:val="18"/>
          <w:color w:val="auto"/>
        </w:rPr>
        <w:t>means a Global Security that bears the Global Security Legend and that has the “Schedule of Exchanges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Interests in the Global Security” attached thereto, and that is deposited with or on behalf of and registered in the name of a Depositary, representing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that do not and are not required to bear the Private Placement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“Voting Stock” </w:t>
      </w:r>
      <w:r>
        <w:rPr>
          <w:rFonts w:ascii="Times New Roman" w:cs="Times New Roman" w:eastAsia="Times New Roman" w:hAnsi="Times New Roman"/>
          <w:sz w:val="18"/>
          <w:szCs w:val="18"/>
          <w:color w:val="auto"/>
        </w:rPr>
        <w:t>of any Person as of any date means the Capital Stock of such Person that is at the time entitled to vote in the election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“Wholly Owned Restricted Subsidiary” </w:t>
      </w:r>
      <w:r>
        <w:rPr>
          <w:rFonts w:ascii="Times New Roman" w:cs="Times New Roman" w:eastAsia="Times New Roman" w:hAnsi="Times New Roman"/>
          <w:sz w:val="18"/>
          <w:szCs w:val="18"/>
          <w:color w:val="auto"/>
        </w:rPr>
        <w:t>of any specified Person means a Restricted Subsidiary of such Person all of the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Stock or other ownership interests of which (other than directors’ qualifying shares) shall at the time be owned by such Person and/or by one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Wholly Owned Restricted Subsidiaries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1.02. Other Definitions</w:t>
            </w:r>
            <w:r>
              <w:rPr>
                <w:rFonts w:ascii="Times New Roman" w:cs="Times New Roman" w:eastAsia="Times New Roman" w:hAnsi="Times New Roman"/>
                <w:sz w:val="18"/>
                <w:szCs w:val="18"/>
                <w:color w:val="auto"/>
              </w:rPr>
              <w:t>.</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16"/>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194"/>
        </w:trPr>
        <w:tc>
          <w:tcPr>
            <w:tcW w:w="1300" w:type="dxa"/>
            <w:vAlign w:val="bottom"/>
          </w:tcPr>
          <w:p>
            <w:pPr>
              <w:spacing w:after="0"/>
              <w:rPr>
                <w:sz w:val="16"/>
                <w:szCs w:val="16"/>
                <w:color w:val="auto"/>
              </w:rPr>
            </w:pPr>
          </w:p>
        </w:tc>
        <w:tc>
          <w:tcPr>
            <w:tcW w:w="3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Term</w:t>
            </w:r>
          </w:p>
        </w:tc>
        <w:tc>
          <w:tcPr>
            <w:tcW w:w="6600" w:type="dxa"/>
            <w:vAlign w:val="bottom"/>
            <w:gridSpan w:val="4"/>
          </w:tcPr>
          <w:p>
            <w:pPr>
              <w:ind w:left="760"/>
              <w:spacing w:after="0" w:line="194" w:lineRule="exact"/>
              <w:rPr>
                <w:sz w:val="20"/>
                <w:szCs w:val="20"/>
                <w:color w:val="auto"/>
              </w:rPr>
            </w:pPr>
            <w:r>
              <w:rPr>
                <w:rFonts w:ascii="Times New Roman" w:cs="Times New Roman" w:eastAsia="Times New Roman" w:hAnsi="Times New Roman"/>
                <w:sz w:val="18"/>
                <w:szCs w:val="18"/>
                <w:color w:val="auto"/>
              </w:rPr>
              <w:t>  Defined in Section </w:t>
            </w: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18"/>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Notes”</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2.01</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AML Law”</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11.16</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Premium”</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3.08</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Order”</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2.02</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“Authenticating Agent”</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2.02</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“Bankruptcy Law”</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6.01</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4.08</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Payment”</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4.08</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Payment Date”</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4.08</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“Custodian”</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6.01</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6.01</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Holiday”</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11.07</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10.01</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2.03</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6.01</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 of Payment”</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2.01</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price”</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3.03</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“Registrar”</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5"/>
              </w:rPr>
              <w:t>2.03</w:t>
            </w:r>
          </w:p>
        </w:tc>
        <w:tc>
          <w:tcPr>
            <w:tcW w:w="4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and Leaseback Transaction”</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4.10</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5.01</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2"/>
        </w:trPr>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160"/>
              <w:spacing w:after="0"/>
              <w:rPr>
                <w:sz w:val="20"/>
                <w:szCs w:val="20"/>
                <w:color w:val="auto"/>
              </w:rPr>
            </w:pPr>
            <w:r>
              <w:rPr>
                <w:rFonts w:ascii="Times New Roman" w:cs="Times New Roman" w:eastAsia="Times New Roman" w:hAnsi="Times New Roman"/>
                <w:sz w:val="18"/>
                <w:szCs w:val="18"/>
                <w:color w:val="auto"/>
                <w:w w:val="99"/>
              </w:rPr>
              <w:t>13</w:t>
            </w: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1.03. Rules of Construction.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2.01. Unlimited in Amount, Form and Dating.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aggregate principal amount of Notes that may be authenticated and delivered under this Indenture is unlimited.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may issue additional Notes after the Initial Notes have been issued (the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in an unlimited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having identical terms and conditions to the Initial Notes, except with respect to the issue date, the issue price, the first interest payment date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date from which interest will accrue. The Initial Notes together with any Additional Notes shall be treated as a single class for all purposes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Indenture, including, without limitation, waivers, amendments, redemptions and offers to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Additional Notes will not be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same CUSIP or ISIN, as applicable, as the Initial Notes unless such Additional Notes are fungible with the Initial Notes for U.S. federal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 Holder of Notes holds Notes as Definitive Securities and has given wire transfer instructions to the Company, the Company will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Principal and any interest on that Holder’s Notes in accordance with those instructions. The Principal of and any interest on the Notes shall be payable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 or agency of the Company designated in the form of Note (each such place herein called the “</w:t>
      </w:r>
      <w:r>
        <w:rPr>
          <w:rFonts w:ascii="Times New Roman" w:cs="Times New Roman" w:eastAsia="Times New Roman" w:hAnsi="Times New Roman"/>
          <w:sz w:val="18"/>
          <w:szCs w:val="18"/>
          <w:i w:val="1"/>
          <w:iCs w:val="1"/>
          <w:color w:val="auto"/>
        </w:rPr>
        <w:t>Place of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interest may be made at the option of the Company by check mailed to the address of the Person entitled thereto as such address shall appear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 of Notes referred to in Section 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Global and Definitive Securities</w:t>
      </w:r>
      <w:r>
        <w:rPr>
          <w:rFonts w:ascii="Times New Roman" w:cs="Times New Roman" w:eastAsia="Times New Roman" w:hAnsi="Times New Roman"/>
          <w:sz w:val="18"/>
          <w:szCs w:val="18"/>
          <w:color w:val="auto"/>
        </w:rPr>
        <w:t>. Notes may be issued as Global Securities or as Definitive Securities and shall be in substantially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Each Global Security shall represent such of the outstanding Notes as shall be specified therein and each shall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it shall represent the aggregate principal amount of such outstanding Notes from time to time endorsed thereon and that the aggregate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outstanding Notes represented thereby may from time to time be reduced or increased, as appropriate, to reflect exchanges, redemptions, purchases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cancellations. Any endorsement of a Global Security to reflect the amount of any increase or decrease in the aggregate principal amount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represented thereby shall be made by the Trustee or the Custodian, at the direction of the Trustee, in accordance with instructions given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thereof as required by Section 2.06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Euroclear and Clearstream Procedures Applicable</w:t>
      </w:r>
      <w:r>
        <w:rPr>
          <w:rFonts w:ascii="Times New Roman" w:cs="Times New Roman" w:eastAsia="Times New Roman" w:hAnsi="Times New Roman"/>
          <w:sz w:val="18"/>
          <w:szCs w:val="18"/>
          <w:color w:val="auto"/>
        </w:rPr>
        <w:t>. The provisions of the “Operating Procedures of the Euroclear System” and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Governing Use of Euroclear” and the “General Terms and Conditions of Clearstream” and “Customer Handbook” of Clearstream shall be applicable to transfers of beneficial interests in the Global Securities that are held by Participants through Euroclear or Clearstream.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Notes may have notations, legends or endorsements required by law, stock exchange rule or usage. Each Note shall be dated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2.02. Execution and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One Officer shall sign the Notes for the Company by manual, electronic or facsimile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the Note is authenticated, the Note shall nevertheless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Note shall not be valid until authenticated by the manual, electronic or facsimile signature of the authorized signatory of the Trustee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Authenticating Agent. The signature shall be conclusive evidence that the Note has been authenticated under this Indenture. Notwithstanding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if any Note shall have been authenticated and delivered hereunder but never issued and sold by the Company, the Company shall deliver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to the Trustee for cancellation pursuant to Section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The Trustee will, upon receipt of a written order of the Company signed by one Officer (an “</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authenticate or cause the Authenticating Agent to authenticate the Notes for original issue that may be validly issued under this Indenture, including any Additional Notes.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Trustee may appoint one or more authenticating agents (each, an “</w:t>
      </w:r>
      <w:r>
        <w:rPr>
          <w:rFonts w:ascii="Times New Roman" w:cs="Times New Roman" w:eastAsia="Times New Roman" w:hAnsi="Times New Roman"/>
          <w:sz w:val="18"/>
          <w:szCs w:val="18"/>
          <w:i w:val="1"/>
          <w:iCs w:val="1"/>
          <w:color w:val="auto"/>
        </w:rPr>
        <w:t>Authenticating Agent</w:t>
      </w:r>
      <w:r>
        <w:rPr>
          <w:rFonts w:ascii="Times New Roman" w:cs="Times New Roman" w:eastAsia="Times New Roman" w:hAnsi="Times New Roman"/>
          <w:sz w:val="18"/>
          <w:szCs w:val="18"/>
          <w:color w:val="auto"/>
        </w:rPr>
        <w:t>”) acceptable to the Company to authenticate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Such an agent may authenticate Notes whenever the Trustee may do so. Each reference in this Indenture to authentication by the Trustee includes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 by such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2.03. Registrar and Paying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The Company shall maintain an office or agency where the Notes may be presented for registration of transfer or for exchange (the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an office or agency where Notes may be presented for payment (a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The Registrar shall keep a register of the Notes and of their transfer and exchange. The Company may appoint one or more co-Registrars and one or more additional paying agents for the Notes.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The Company may change any Paying Agent, Registrar or co-Registrar without prior notice to any Holder. The Company shall notify the Trustee in writing of the name and address of any Agent not a party to this Indenture.  </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Company fails to maintain a Registrar or Paying Agent for the Notes, the Trustee shall act as such.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Subsidiaries may act as Paying Agent, Registrar or co-Registrar.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The Company hereby appoints the Trustee as the initial Registrar and Paying Agent for the Notes unless another Registrar or Paying Agent, as the case may be, is appointed prior to the time the Notes are first issued.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2.04. Paying Agent to Hold Money in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Whenever the Company has one or more Paying Agents it shall, prior to each due date of the Principal of or interest on, any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with a Paying Agent a sum sufficient to pay the Principal or interest so becoming due, such sum to be held in trust for the benefit of the Persons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such Principal or interest, and (unless such Paying Agent is the Trustee) the Company shall promptly notify the Trustee of its action or failure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such Paying Agent shall hold in trust for the benefit of the Holders of the Notes, or the Trustee all money held by such Paying Agent for the payment of Principal or interest on the Notes, and that such Paying Agent shall notify the Trustee of any Default by the Company or any other obligor of the Notes in making any such payment and at any time during the continuance of any such Default, upon the written request of the Trustee, forthwith pay to the Trustee all sums so held in trust by such Paying Agent. If the Company or one of its Restricted Subsidiaries acts as Paying Agent, it shall segregate and hold in a separate trust fund for the benefit of the Holders of the Notes all money held by it as Paying Agent. The Company at any time may require a Paying Agent to pay all money held by it to the Trustee and to account for any funds disbursed by the Paying Agent. Upon so doing, the Paying Agent (if other than the Company or a Restricted Subsidiary of the Company) shall have no further liability for such money. Upon any bankruptcy or reorganization proceedings relating to the Company, the Trustee shall serve as Paying Agent for the Notes. A Paying Agent shall not be obligated to pay the Holders of the Notes (or make any other payment) unless and until such time as it has confirmed receipt of funds sufficient to make the relevant payment.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2.05. Holder Lists.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 Holders. If the Trustee is not the Registrar, the Company shall furnish, or cause the Registrar to furnish, to the Trustee and each Paying Agent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 Business Days before each interest payment date and at such other times as the Trustee may request in writing, a list in such form and as of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Trustee or the Paying Agent may reasonably require of the names and addresses of Holders relating to such interest payment date or request,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2.06. Transfer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Transfer and Exchange of Global Securities</w:t>
      </w:r>
      <w:r>
        <w:rPr>
          <w:rFonts w:ascii="Times New Roman" w:cs="Times New Roman" w:eastAsia="Times New Roman" w:hAnsi="Times New Roman"/>
          <w:sz w:val="18"/>
          <w:szCs w:val="18"/>
          <w:color w:val="auto"/>
        </w:rPr>
        <w:t>. A Global Security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Global Securities will not be exchanged by the Company for Definitive Securities unless (i)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(ii) the Company in its sole discretion determines that the Global Securities (in whole but not in part) should be exchanged for Definitive Securities and delivers a written notice to such effect to the Trustee; or (iii) an Event of Default shall have occurred and be continuing with respect to the Notes and the Trustee has received a written request from the owner of a book-entry interest to issue Definitive Securities. Upon the occurrence of any of the preceding events in (i), (ii) or (iii) above, Definitive Securities shall be issued in such names as the Depositary shall instruct the Trustee. Global Securities also may be exchanged or replaced, in whole or in part, as provided in Sections 2.07 and 2.09. Every Note authenticated and delivered in exchange for, or in lieu of, a Global Security or any portion thereof, pursuant to this Section 2.06 or Sections 2.07 or 2.09, shall be authenticated and delivered in the form of, and shall be, a Global Security. A Global Security may not be exchanged for another Note other than as provided in this Section 2.06(a), however, beneficial interests in a Global Security may be transferred and exchanged as provided in Section 2.06(b), (c) or (d).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Transfer and Exchange of Beneficial Interests in Global Securities</w:t>
      </w:r>
      <w:r>
        <w:rPr>
          <w:rFonts w:ascii="Times New Roman" w:cs="Times New Roman" w:eastAsia="Times New Roman" w:hAnsi="Times New Roman"/>
          <w:sz w:val="17"/>
          <w:szCs w:val="17"/>
          <w:color w:val="auto"/>
        </w:rPr>
        <w:t>. The transfer and exchange of beneficial interests in the Global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shall be effected through the Depositary, in accordance with the provisions of this Indenture and the Applicable Procedures. Beneficial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Restricted Global Securities shall be subject to restrictions on transfer comparable to those set forth herein to the extent required by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Transfers of beneficial interests in the Global Securities also shall require compliance with either subparagraph (i) or (ii) below, as applicable, as 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one or more of the other following subparagraphs,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Transfer of Beneficial Interests in the Same Global Security</w:t>
      </w:r>
      <w:r>
        <w:rPr>
          <w:rFonts w:ascii="Times New Roman" w:cs="Times New Roman" w:eastAsia="Times New Roman" w:hAnsi="Times New Roman"/>
          <w:sz w:val="18"/>
          <w:szCs w:val="18"/>
          <w:color w:val="auto"/>
        </w:rPr>
        <w:t>. Beneficial interests in any Restricted Global Security may be transferred to Persons who take delivery thereof in the form of a beneficial interest in the same Restricted Global Security in accordance with the transfer restrictions set forth in the Private Placement Legend; provided, however, that prior to the expiration of the Restricted Period, transfers of beneficial interests in the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No written orders or instructions shall be required to be delivered to the Registrar to effect the transfers described in this Section 2.06(b)(i).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All Other Transfers and Exchanges of Beneficial Interests in Global Securities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(A)            Prior to the expiration of the Restricted Period, interests in the Regulation S Global Securities may be exchanged for beneficial interests in the 144A Global Securities only if: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            such exchange occurs in connection with a transfer of the Notes pursuant to Rule 144A;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            the transferor complies with the requirements of Section 2.06(b)(iii)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(B)            In connection with all transfers and exchanges of beneficial interests in any Global Security that is not subject to Section 2.06(b)(i) above, the transferor of such beneficial interest must deliver to the Registrar (1) 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2"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 xml:space="preserve">(2) instructions given in accordance with the Applicable Procedures containing information regarding the Participant account to be credited with such increase. Upon satisfaction of all of the requirements for transfer or exchange of beneficial interests in Global Securities contained in this Indenture and the Notes or otherwise applicable under the Securities Act, including the delivery of a certificate in the form of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as applicable, including the certifications and an Opinion of Counsel as required thereby, the Trustee shall adjust the Principal amount of the relevant Global Security(s) pursuant to Section 2.06(g).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Transfer of Beneficial Interests to Another Restricted Global Security</w:t>
      </w:r>
      <w:r>
        <w:rPr>
          <w:rFonts w:ascii="Times New Roman" w:cs="Times New Roman" w:eastAsia="Times New Roman" w:hAnsi="Times New Roman"/>
          <w:sz w:val="18"/>
          <w:szCs w:val="18"/>
          <w:color w:val="auto"/>
        </w:rPr>
        <w:t>. A beneficial interest in any Restricted Global Security may be transferred to a Person who takes delivery thereof in the form of a beneficial interest in another Restricted Global Security if the transfer complies with the requirements of Section 2.06(b)(ii) above and the Registrar receives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if the transferee will take delivery in the form of a beneficial interest in a 144A Global Security, then the transferor must deliver a certificate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certifications in item (1) thereof;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if the transferee will take delivery in the form of a beneficial interest in a Regulation S Global Security, then the transferor must deliver a certificate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certifications in item (2)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any such transfer is effected pursuant to subparagraph (B) above at a time when an Unrestricted Global Security has not yet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 the Company shall issue and, upon receipt of an Authentication Order in accordance with Section 2.02, the Trustee or the Authenticating Agent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authenticate one or more Unrestricted Global Securities in an aggregate principal amount equal to the aggregate principal amount of beneficial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pursuant to subparagraph (B)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Beneficial interests in an Unrestricted Global Security cannot be exchanged for, or transferred to Persons who take delivery thereof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 beneficial interest in a Restricted Global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Transfer and Exchange of Beneficial Interests in Global Securities for Definitive Securities</w:t>
      </w:r>
      <w:r>
        <w:rPr>
          <w:rFonts w:ascii="Times New Roman" w:cs="Times New Roman" w:eastAsia="Times New Roman" w:hAnsi="Times New Roman"/>
          <w:sz w:val="18"/>
          <w:szCs w:val="18"/>
          <w:color w:val="auto"/>
        </w:rPr>
        <w:t>. A beneficial interest in a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may not be exchanged for a Definitive Security except under the circumstances described in Section 2.06(a). A beneficial interest in a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may not be transferred to a Person who takes delivery thereof in the form of a Definitive Security except under the circumstances described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2.06(a).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Transfer and Exchange of Definitive Securities for Beneficial Interests in Global Securities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Restricted Definitive Securities to Beneficial Interests in Restricted Global Securities</w:t>
      </w:r>
      <w:r>
        <w:rPr>
          <w:rFonts w:ascii="Times New Roman" w:cs="Times New Roman" w:eastAsia="Times New Roman" w:hAnsi="Times New Roman"/>
          <w:sz w:val="18"/>
          <w:szCs w:val="18"/>
          <w:color w:val="auto"/>
        </w:rPr>
        <w:t>. If any Holder of a Restricted Definitive Security proposes to exchange such Restricted Definitive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if the Holder of such Restricted Definitive Security proposes to exchange such Restricted Definitive Security for a beneficial interest in a Restricted Global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(2)(a)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if such Restricted Definitive Security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certifications in item (1)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65" w:lineRule="auto"/>
        <w:rPr>
          <w:sz w:val="20"/>
          <w:szCs w:val="20"/>
          <w:color w:val="auto"/>
        </w:rPr>
      </w:pPr>
      <w:r>
        <w:rPr>
          <w:rFonts w:ascii="Times New Roman" w:cs="Times New Roman" w:eastAsia="Times New Roman" w:hAnsi="Times New Roman"/>
          <w:sz w:val="17"/>
          <w:szCs w:val="17"/>
          <w:color w:val="auto"/>
        </w:rPr>
        <w:t xml:space="preserve">(C)            if such Restricted Definitive Security is being transferred to a Non-U.S. Person in an offshore transaction in accordance with Rule 903 or Rule 904, a certificate to the effect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including the certifications in item (2) thereof;</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if such Restricted Definitive Security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certifications in item (3)(a)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if such Restricted Definitive Security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certifications in item (3)(b) thereof,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if such Restricted Definitive Security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certifications in item (3)(c)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the Trustee shall cancel the Restricted Definitive Security, and increase or cause to be increased the aggregate principal amount of, in the case of clause (A) above, the appropriate Restricted Global Security, in the case of clause (B) above, the 144A Global Security, and in the case of clause (C) above, the Regulation S Global Security.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Upon satisfaction of the conditions of any of the subparagraphs in this Section 2.06(d)(i), the Trustee shall cancel the Definitive Securities and increase or cause to be increased the aggregate principal amount of the Unrestricted Global Security.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Unrestricted Definitive Securities to Beneficial Interests in Unrestricted Global Securities</w:t>
      </w:r>
      <w:r>
        <w:rPr>
          <w:rFonts w:ascii="Times New Roman" w:cs="Times New Roman" w:eastAsia="Times New Roman" w:hAnsi="Times New Roman"/>
          <w:sz w:val="18"/>
          <w:szCs w:val="18"/>
          <w:color w:val="auto"/>
        </w:rPr>
        <w:t>. A Holder of an Unrestricted Definitive Security may exchange such Unrestricted Definitive Security for a beneficial interest in an Unrestricted Global Security or transfer such Unrestricted Definitive Securities to a Person who takes delivery thereof in the form of a beneficial interest in an Unrestricted Global Security at any time. Upon receipt of a request for such an exchange or transfer, the Trustee shall cancel the applicable Unrestricted Definitive Security and increase or cause to be increased the aggregate Principal amount of one of the Unrestricted Global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Transfer and Exchange of Definitive Securities for Definitive Securities</w:t>
      </w:r>
      <w:r>
        <w:rPr>
          <w:rFonts w:ascii="Times New Roman" w:cs="Times New Roman" w:eastAsia="Times New Roman" w:hAnsi="Times New Roman"/>
          <w:sz w:val="18"/>
          <w:szCs w:val="18"/>
          <w:color w:val="auto"/>
        </w:rPr>
        <w:t>. Upon request by a Holder of Definitive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Holder’s compliance with the provisions of this Section 2.06(e), the Registrar shall register the transfer or exchange of Definitive Securities.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registration of transfer or exchange, the requesting Holder shall present or surrender to the Registrar the Definitive Securities duly endorsed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accompanied by a written instruction of transfer in form satisfactory to the Registrar duly executed by such Holder or by its attorney, duly authorized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In addition, the requesting Holder shall provide any additional certifications, documents and information, as applicable, required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provisions of this Section 2.06(e).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Restricted Definitive Securities to Restricted Definitive Securities</w:t>
      </w:r>
      <w:r>
        <w:rPr>
          <w:rFonts w:ascii="Times New Roman" w:cs="Times New Roman" w:eastAsia="Times New Roman" w:hAnsi="Times New Roman"/>
          <w:sz w:val="18"/>
          <w:szCs w:val="18"/>
          <w:color w:val="auto"/>
        </w:rPr>
        <w:t>. Any Restricted Definitive Security may be transferred to and registered in the name of Persons who take delivery thereof in the form of a Restricted Definitive Security if the Registrar receives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if the transfer will be made pursuant to Rule 144A, then the transferor must deliver a certificate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certifications in item (1)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certifications in item (2) thereof,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certifications in item (3)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Unrestricted Definitive Securities to Unrestricted Definitive Securities</w:t>
      </w:r>
      <w:r>
        <w:rPr>
          <w:rFonts w:ascii="Times New Roman" w:cs="Times New Roman" w:eastAsia="Times New Roman" w:hAnsi="Times New Roman"/>
          <w:sz w:val="18"/>
          <w:szCs w:val="18"/>
          <w:color w:val="auto"/>
        </w:rPr>
        <w:t>. A Holder of Unrestricted Definitive Securities may transfer such Unrestricted Definitive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The following legends shall appear on the face of all Global Securities and Definitive Securities issued under this Indenture unless specifically stated otherwise in the applicable provisions of this Indenture.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56"/>
        <w:spacing w:after="0" w:line="250"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(2) below, each Global Security and each Definitive Security (and all Notes issued in exchange therefor or substitution thereof) shall bear the legend in substantially the following form:</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AND THE GUARANTEES ENDORSED HEREON HAVE NOT BEEN REGISTERED UNDER THE U.S. SECURITIES ACT OF 1933, AS AMENDED (THE “SECURITIES ACT”), OR THE SECURITIES LAWS OF ANY U.S. STATE OR OTHER JURISDICTION. NEITHER THIS NOTE, THE GUARANTEES ENDORSED HEREON NOR ANY INTEREST OR PARTICIPATION HEREIN MAY BE OFFERED, SOLD, ASSIGNED, TRANSFERRED, PLEDGED, ENCUMBERED OR OTHERWISE DISPOSED OF IN THE ABSENCE OF SUCH REGISTRATION OR UNLESS SUCH TRANSACTION IS EXEMPT FROM OR NOT SUBJECT TO THE REGISTRATION REQUIREMENTS OF THE SECURITIES ACT. THE HOLDER OF THIS NOTE AND THE GUARANTEES ENDORSED HEREON, BY ITS ACCEPTANCE HEREOF ON ITS OWN BEHALF AND ON BEHALF OF ANY INVESTOR ACCOUNT FOR WHICH IT HAS PURCHASED NOTES, (1) REPRESENTS THAT IT IS A “QUALIFIED INSTITUTIONAL BUYER” (AS DEFINED IN RULE 144A UNDER THE SECURITIES ACT (“RULE 144A”)) OR IT IS NOT A U.S. PERSON AND IS ACQUIRING THIS NOTE IN AN OFFSHORE TRANSACTION PURSUANT TO RULE 904 OF REGULATION S UNDER THE SECURITIES ACT, (2) AGREES TO OFFER, SELL OR OTHERWISE TRANSFER SUCH SECURITY, PRIOR TO THE DATE WHICH IS [</w:t>
      </w:r>
      <w:r>
        <w:rPr>
          <w:rFonts w:ascii="Times New Roman" w:cs="Times New Roman" w:eastAsia="Times New Roman" w:hAnsi="Times New Roman"/>
          <w:sz w:val="18"/>
          <w:szCs w:val="18"/>
          <w:i w:val="1"/>
          <w:iCs w:val="1"/>
          <w:color w:val="auto"/>
        </w:rPr>
        <w:t>IN THE CASE OF RULE 144A NOTES</w:t>
      </w:r>
      <w:r>
        <w:rPr>
          <w:rFonts w:ascii="Times New Roman" w:cs="Times New Roman" w:eastAsia="Times New Roman" w:hAnsi="Times New Roman"/>
          <w:sz w:val="18"/>
          <w:szCs w:val="18"/>
          <w:color w:val="auto"/>
        </w:rPr>
        <w:t>: ONE YEAR]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CASE OF REGULATION S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40 DAYS</w:t>
      </w:r>
      <w:r>
        <w:rPr>
          <w:rFonts w:ascii="Times New Roman" w:cs="Times New Roman" w:eastAsia="Times New Roman" w:hAnsi="Times New Roman"/>
          <w:sz w:val="18"/>
          <w:szCs w:val="18"/>
          <w:color w:val="auto"/>
        </w:rPr>
        <w:t>] AFTER THE LATER OF THE ORIGINAL ISSUE DATE OF THIS NOTE,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ISSUE DATE OF THE ISSUANCE OF ANY ADDITIONAL NOTES, AND THE LAST DATE ON WHICH OWENS-BROCKWAY GLASS CONTAINER INC. (THE “ISSUER”) OR ANY AFFILIATE OF THE ISSUER WAS THE OWNER OF THIS NOTE AND THE GUARANTEES ENDORSED HEREON (OR ANY PREDECESSOR OF THIS NOTE AND THE GUARANTEES ENDORSED HEREON) (THE “RESALE RESTRICTION TERMINATION DATE”), ONLY (A) TO THE ISSUER, OWENS-ILLINOIS GROUP, INC. OR ANY SUBSIDIARY THEREOF, (B) PURSUANT TO AN EFFECTIVE REGISTRATION STATEMENT UNDER THE SECURITIES ACT, (C) FOR SO LONG AS THE NOTES AND THE GUARANTEES ENDORSED THEREON ARE ELIGIBLE FOR RESALE PURSUANT TO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OFFSHORE TRANSACTIONS TO NON-U.S. PERSONS OCCURRING OUTSIDE THE UNITED STATES WITHIN THE MEANING OF REGULATION S UNDER THE SECURITIES ACT AND IN RELIANCE ON REGULATION S UNDER THE SECURITIES ACT, OR (E) PURSUANT TO ANOTHER AVAILABLE EXEMPTION FROM THE REGISTRATION REQUIREMENTS OF THE SECURITIES ACT, SUBJECT TO THE ISSUER’S AND THE TRUSTEE’S RIGHT PRIOR TO ANY SUCH OFFER, SALE OR TRANSFER (I) PURSUANT TO CLAUSES (D) OR (E) PRIOR TO THE RESALE RESTRICTION TERMINATION DATE TO REQUIRE THE DELIVERY OF AN OPINION OF COUNSEL, CERTIFICATION AND/OR OTHER INFORMATION SATISFACTORY TO EACH OF THEM, AND (II) IN EACH OF THE FOREGOING CASES, TO REQUIRE THAT A CERTIFICATE OF TRANSFER IN THE FORM APPEARING ON THIS NOTE IS COMPLETED AND DELIVERED BY THE TRANSFEROR TO THE TRUSTEE, AND (3) AGREES THAT IT GIVE TO EACH PERSON TO WHOM THIS NOTE IS TRANSFERRED A NOTICE SUBSTANTIALLY TO THE EFFECT OF THIS LEGEND. THIS LEGEND WILL BE REMOVED UPON THE REQUEST OF A HOLDER AFTER THE RESALE RESTRICTION TERMINATION DATE.”</w:t>
      </w:r>
    </w:p>
    <w:p>
      <w:pPr>
        <w:spacing w:after="0" w:line="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56"/>
        <w:spacing w:after="0" w:line="250" w:lineRule="auto"/>
        <w:tabs>
          <w:tab w:leader="none" w:pos="9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Global Security or Definitive Security issued pursuant to subparagraph (d)(ii) or (e)(ii) of this Section 2.06 or any Global Security or Definitive Security initially issued by the Company pursuant to an effective registration statement under the Securities Act (and all Notes issued in exchange therefor or substitution thereof) shall not bear the Private Placement Legend set forth in the first two paragraphs above.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Global Security Legend</w:t>
      </w:r>
      <w:r>
        <w:rPr>
          <w:rFonts w:ascii="Times New Roman" w:cs="Times New Roman" w:eastAsia="Times New Roman" w:hAnsi="Times New Roman"/>
          <w:sz w:val="18"/>
          <w:szCs w:val="18"/>
          <w:color w:val="auto"/>
        </w:rPr>
        <w:t>. Each Global Security shall bear a legend in substantially the following form:</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GLOBAL SECURITY IS HELD BY THE DEPOSITARY (AS DEFINED IN THE INDENTURE GOVERNING THIS SECURITY) OR ITS NOMINEE IN CUSTODY FOR THE BENEFIT OF THE BENEFICIAL OWNERS HEREOF, AND IS NOT TRANSFERABLE TO ANY PERSON UNDER ANY CIRCUMSTANCES EXCEPT THAT (I) THE TRUSTEE MAY MAKE SUCH NOTATIONS HEREON AS MAY BE REQUIRED PURSUANT TO THE INDENTURE, (II) THIS GLOBAL SECURITY MAY BE EXCHANGED IN WHOLE BUT NOT IN PART PURSUANT TO SECTION 2.06(a) OF THE INDENTURE, (III) THIS GLOBAL SECURITY MAY BE DELIVERED TO THE TRUSTEE FOR CANCELLATION PURSUANT TO SECTION 2.10 OF THE INDENTURE AND (IV) THIS GLOBAL SECURITY MAY BE TRANSFERRED TO A SUCCESSOR DEPOSITARY WITH THE PRIOR WRITTEN CONSENT OF THE COMPANY.</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Regulation S Legends</w:t>
      </w:r>
      <w:r>
        <w:rPr>
          <w:rFonts w:ascii="Times New Roman" w:cs="Times New Roman" w:eastAsia="Times New Roman" w:hAnsi="Times New Roman"/>
          <w:sz w:val="18"/>
          <w:szCs w:val="18"/>
          <w:color w:val="auto"/>
        </w:rPr>
        <w:t>. All Notes issued or exchanged under this Indenture pursuant to Regulation S shall bear a legend in substantially the following form: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ERISA Legend</w:t>
      </w:r>
      <w:r>
        <w:rPr>
          <w:rFonts w:ascii="Times New Roman" w:cs="Times New Roman" w:eastAsia="Times New Roman" w:hAnsi="Times New Roman"/>
          <w:sz w:val="18"/>
          <w:szCs w:val="18"/>
          <w:color w:val="auto"/>
        </w:rPr>
        <w:t>. Each Global Security and each Definitive Security issued in exchange for a beneficial interest in a Global Security (and all Notes issued in exchange therefor or substitution thereof) shall bear a legend in substantially the following form: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“BY ACCEPTANCE OF THIS NOTE, EACH ACQUIRER AND SUBSEQUENT TRANSFEREE OF THIS NOTE (OR ANY INTEREST HEREIN) WILL BE DEEMED TO HAVE REPRESENTED AND WARRANTED THAT EITHER (A) IT IS NOT, AND IS NOT ACTING ON BEHALF OF, A PLAN, AND NO PORTION OF THE ASSETS USED BY SUCH ACQUIRER OR TRANSFEREE TO ACQUIRE AND HOLD THIS NOTE (OR ANY INTEREST HEREIN) CONSTITUTES ASSETS OF ANY EMPLOYEE BENEFIT PLAN SUBJECT TO TITLE I OF THE EMPLOYEE RETIREMENT INCOME SECURITY ACT OF 1974, AS AMENDED (“ERISA”), ANY PLAN, INDIVIDUAL RETIREMENT ACCOUNT OR OTHER ARRANGEMENTS THAT ARE SUBJECT TO SECTION 4975 OF THE INTERNAL REVENUE CODE OF 1986, AS AMENDED (THE “CODE”), OR PROVISIONS UNDER ANY FEDERAL, STATE, LOCAL, NON-UNITED STATES OR OTHER LAWS OR REGULATIONS THAT ARE SIMILAR TO THE PROVISIONS OF ERISA OR THE CODE (COLLECTIVELY, “SIMILAR LAWS”), OR ANY ENTITY WHOSE UNDERLYING ASSETS ARE CONSIDERED TO INCLUDE “PLAN ASSETS” OF SUCH PLAN, ACCOUNT AND ARRANGEMENT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(B) THE ACQUISITION, HOLDING AND SUBSEQUENT DISPOSITION OF THIS NOTE (OR ANY INTEREST HEREIN) WILL NOT CONSTITUTE OR RESULT IN A NON-EXEMPT PROHIBITED TRANSACTION UNDER SECTION 406 OF ERISA OR SECTION 4975 OF THE CODE OR ANY SIMILAR VIOLATION UNDER ANY APPLICABLE SIMILAR LAWS.”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Cancellation and/or Adjustment of Global Securities</w:t>
      </w:r>
      <w:r>
        <w:rPr>
          <w:rFonts w:ascii="Times New Roman" w:cs="Times New Roman" w:eastAsia="Times New Roman" w:hAnsi="Times New Roman"/>
          <w:sz w:val="18"/>
          <w:szCs w:val="18"/>
          <w:color w:val="auto"/>
        </w:rPr>
        <w:t>. At such time as all beneficial interests in a particular Global Security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exchanged for Definitive Securities or a particular Global Security has been redeemed, repurchased or canceled in whole and not in part, each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Security shall be returned to or retained and canceled by the Trustee in accordance with Section 2.10. At any time prior to such cancellation,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interest in a Global Security is exchanged for or transferred to a Person who will take delivery thereof in the form of a beneficial interest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Global Security or for Definitive Securities, the principal amount of Notes represented by such Global Security shall be reduced accordingly and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endorsement shall be made on such Global Security by the Trustee or by the Depositary at the direction of the Trustee to reflect such reduction; and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interest is being exchanged for or transferred to a Person who will take delivery thereof in the form of a beneficial interest in another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such other Global Security shall be increased accordingly and an endorsement shall be made on such Global Security by the Trustee or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at the direction of the Trustee to reflect such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General Provisions Relating to Transfers and Exchanges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Where Notes are presented to the Registrar or a co-Registrar with a request to register a transfer or to exchange them for an equal principal amount of Notes of other authorized denominations, the Registrar shall register the transfer or make the exchange if its requirements for such transactions are met. To permit registrations of transfers and exchanges, the Company shall issue and execute and the Trustee or the Authenticating Agent shall authenticate Global Securities and Definitive Securities upon the receipt of an Authentication Order in accordance with Section 2.02 hereof or at the Registrar’s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(ii)            No service charge shall be made for any registration of transfer or exchange, but the Company may require payment of a sum sufficient to cover any transfer tax or similar governmental charge payable in connection therewith (other than any such transfer tax or similar governmental charge payable upon exchanges pursuant to Sections 2.09, 3.06 or 9.04).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(iii)            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(iv)            The Company and the Registrar shall not be required (A) to issue, to register the transfer of or to exchange any Notes during a period beginning at the opening of business 15 days before the day of any selection of Notes for redemption under Section 3.02 and ending at the close of business on the day of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(vi)            The Trustee or the Authenticating Agent shall authenticate Global Securities and Definitive Securities in accordance with the provisions of Section 2.02.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(vii)            All certifications, certificates and Opinions of Counsel required to be submitted to the Registrar pursuant to this Section 2.06 to effect a registration of transfer or exchange may be submitted by facsimile or PDF.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(viii)            Each Holder of a Note agrees to indemnify the Company, the Trustee and any Agent against any liability that may result from the transfer, exchange or assignment of such Holder’s Note in violation of any provision of this Indenture and/or applicable United States federal or state securities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or under applicable law with respect to any transfer of any interest in any Note (including any transfers between or among Participants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or beneficial owners of interests in any Global Security) other than to require delivery of such certificates and other documentation or evidence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are expressly required by, and to do so if and when expressly required by the terms of, this Indenture, and to examine the same to determine substantial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as to form with the express requirements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shall not be responsible for any act or failure to act by the Depositary.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2.07. Replacement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If a mutilated Note is surrendered to the Trustee or if the Holder of a Note claims that the Note has been lost, destroyed or wrongfully taken, the Company shall issue and the Trustee, upon receipt of an Authentication Order, shall authenticate, or cause the Authenticating Agent to authenticate, a replacement Note if the Company’s and the Trustee’s requirements are met. The Trustee or the Company may require an indemnity bond to be furnished which is sufficient in the judgment of both to protect the Company, the Trustee, and any Agent from any loss which any of them may suffer if a Note is replaced. The Company may charge such Holder for its expenses in replacing a Note.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Every replacement Note is an obligation of the Company and shall be entitled to all the benefit of this Indenture equally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proportionately with any and all other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2.08. Outstanding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Notes outstanding at any time are all the Notes authenticated by the Trustee or the Authenticating Agent, except for those cancelled by it, those delivered to it for cancellation, and those described in this Section 2.08 as not outstanding. Except as set forth in the final paragraph of this Section 2.08, a Note does not cease to be outstanding because the Company or an Affiliate of the Company holds the Note.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 Note is replaced pursuant to Section 2.07, it ceases to be outstanding unless the Trustee receives proof satisfactory to it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replaced Note is held by a bona fide purchaser.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Notes are considered paid under Section 4.01, they cease to be outstanding and interest on them ceases to accrue.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Notes owned by the Company, or by any Person directly or indirectly controlling or controlled by or under direct or indirect common control with the Company, shall be considered as though not outstanding, except that for the purposes of determining whether the Trustee shall be protected in relying on any such direction, waiver or consent, only Notes as to which a Trust Officer of the Trustee has actual knowledge are so owned shall be so disregarded.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2.09. Temporary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Until definitive Notes are ready for delivery, the Company may prepare and the Trustee, upon receipt of an Authentication Order, shall authenticate, or cause the Authenticating Agent to authenticate, temporary Notes. Temporary Notes shall be substantially in the form of definitive Notes but may have variations that the Company considers appropriate for temporary Notes. Without unreasonable delay, the Company shall prepare and the Trustee or the Authenticating Agent shall authenticate definitive Notes in exchange for temporary Notes.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Holders of temporary Notes shall be entitled to all of the benefits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2.10. Cancellation.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at any time may deliver Notes to the Trustee for cancellation. The Registrar and any Paying Agent shall forward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or its agent any Notes surrendered to them for registration of transfer, exchange or payment. The Trustee shall cancel all Notes surrendered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of transfer, exchange, payment, replacement or cancellation and the Trustee shall destroy cancelled Notes and provide a certificate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destruction to the Company. The Company may not issue new Notes to replace Notes that it has paid or that have been delivered to the Trustee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2.11. Defaulted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Company fails to make a payment of interest on the Notes, it shall pay such defaulted interest on the Notes plus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lawful) any interest payable on the defaulted interest, in any lawful manner. It may elect to pay such defaulted interest, plus any such interest payable on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Persons who are Holders of such Notes on which the interest is due on a subsequent special record date, which special record date shall be fixed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manner. The Company shall notify the Trustee in writing of the amount of defaulted interest proposed to be paid on each Note and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payment, and at the same time the Company shall deposit with the Trustee an amount of money in the currency or currency unit in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payable, equal to the aggregate amount proposed to be paid in respect of such defaulted interest or shall make arrangements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for such deposit prior to the date of the proposed payment, such money when deposited to be held in trust for the benefit of the Persons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defaulted interest. Thereupon the Company shall fix a special record date for the payment of such defaulted interest which shall be not more than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and not less than 10 days prior to the date of the proposed payment. The Company shall cause notice of the proposed payment of such defaulted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the special record date therefor to be mailed to each Holder of Notes at the address as it appears in the register of Notes referred to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not less than 10 days prior to such special record date. Notice of the proposed payment of such defaulted interest and the special record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 having been so mailed, defaulted interest shall be paid to the Persons in whose names the Notes are registered at the close of business 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record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2.12. Special Record Dates.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Company may, but shall not be obligated to, set a record date for the purpose of determining the identity of Holders entitled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to any supplement, amendment or waiver permitted by this Indenture. If a record date is fixed, the Holders of Notes outstanding on such record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no other Holders, shall be entitled to consent to such supplement, amendment or waiver or revoke any consent previously given, whether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Holders remain Holders after such record date. No consent shall be valid or effective for more than 90 days after such record date unless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Holders of the principal amount of Notes required hereunder for such amendment or waiver to be effective shall have also been given and not revoked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such 90-day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The Company may, but shall not be obligated to, fix any day as a record date for the purpose of determining the Holders of Notes entitled to join in the giving or making of any notice of Default, any declaration of acceleration, any request to institute proceedings or any other similar direction. If a record date is fixed, the Holders of Notes outstanding on such record date, and no other Holders, shall be entitled to join in such notice, declaration, request or direction, whether or not such Holders remain Holders after such record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action shall be effective hereunder unless taken on or prior to the date 90 days after such record date.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Company, in the event of defaulted interest, shall set a special record date in accordance with Section 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2.13. CUSIP and ISIN Numbers.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The Company in issuing Notes may use “CUSIP” or “ISIN” numbers or both numbers, and, if so used, the Trustee shall use such “CUSIP” or “ISIN” numbers or both numbers in notices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such Notes or as contained in any notice and that reliance may be placed only on the other identification numbers printed on such Notes, and any such action relating to such notice shall not be affected by any defect in or omission of such numbers in such notice. The Company shall promptly notify the Trustee of any change in the “CUSIP” or “ISIN” numbers.  </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2.14. Denominations.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Notes shall be issuable only in denominations of $2,000 or an integral multiple of $1,000 above such minimum denomination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2.15.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rights, powers, duties and obligations and actions of each Agent under this Indenture are several and not joint or joint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(b)            The Company and the Agents acknowledge and agree that in the event of an Event of Default, the Trustee may, by notice in writing to the Company and the Agents, require that the Agents act as agents of, and take instructions exclusively from, the Trustee.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3.01. Notices to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If the Company elects to redeem Notes pursuant to Section 3.08 hereof or is required to redeem the Notes pursuant to Section 4.08 hereof, it shall notify the Trustee of the redemption date and the principal amount of Notes to be redeemed.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shall give the notice provided for in this Section 3.01 at least 10 days before the redemption date (unless a shorter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shall be satisfactory to the Trustee), which notice shall specify the provisions of such Notes pursuant to which the Company elects to redeem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Any redemption of Notes (including in connection with an Equity Offering) or notice thereof may, in the Company’s discretion, be subject to satisfaction of one or more conditions precedent, which may include the consummation of any related Equity Offering.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3.02. Selection of Notes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If less than all of the outstanding Notes are to be redeemed at any time, the Trustee shall select Notes for redemption on a pro rata basis, by lot or by such method as the Trustee shall deem fair and appropriate depending on and subject to the applicable procedures of the Depositary.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Trustee shall not be liable for any selections made by it in accordance with this Section 3.02.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Notes and portions thereof that the Trustee selects shall be in amounts of $2,000 and integral multiples of $1,000 in excess thereof. Provisions of this Indenture that apply to Notes called for redemption also apply to portions of Notes called for redemption. The Trustee shall notify the Company promptly in writing of the Notes or portions of Notes to be called for redemption.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3.03. Notice of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At least 10 days but not more than 60 days before a redemption date, the Company shall provide a notice of redemption to each Holder whose Notes are to be redeemed at the address of such Holder as it appears in the register of Notes referred to in Section 2.03; provided that redemption notices may be delivered more than 60 days prior to a redemption date if the notice is issued in connection with a defeasance of the Notes or a satisfaction and discharge of this Indenture. For Notes which are represented by Global Securities held by the Depositary, notices of redemption may be given by delivery of the relevant notices to such Depositary for communication to entitled account holders.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shall state the portion of the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to be redeemed. A new Note in principal amount equal to the unredeemed portion of the original Note shall be issued in the name of the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upon cancellation of the original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notice shall identify the Notes to be redeemed and shall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redemption date and record date,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redemption price fixed in accordance with the terms of the Notes to be redeemed, plus accrued interest, if any, to the date fixed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redemption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(3)            if any Note is being redeemed in part, the portion of the principal amount of such Note to be redeemed and that, after the redemption date, upon surrender of such Note, a new Note or Notes in principal amount equal to the unredeemed portion shall be issued;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the name and address of the Paying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that Notes called for redemption must be surrendered to the Paying Agent to collect the redemption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            that, unless the Company defaults in payment of the redemption price, interest on Notes called for redemption ceases to accrue on and after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the conditions precedent, if any, to the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the CUSIP number or ISIN number, if any, of the Notes to be redeemed;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the Section and clause of this Indenture pursuant to which the Notes are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which shall be prepared by the Company and provided to the Trustee. A notice mailed or otherwise provided in the manner herein provided shall be conclusively presumed to have been duly given whether or not the Holder receives such notice. In any case, failure to provide such notice or any defect in the notice of the Holder of any Note shall not affect the validity of the proceeding for the redemption of any other Note.  </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3.04. Effect of Notice of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Once notice of redemption is provided in accordance with Section 3.03, Notes called for redemption become due on the date fixed for redemption, unless the notice of redemption is subject to one or more conditions precedent, in which case the Notes called for redemption become due only upon the satisfaction or waiver of such conditions. Upon surrender to the Paying Agent, such Notes shall be paid at the redemption price. Unless there is a failure by the Company to deposit sufficient funds with the Paying Agent to pay the redemption price of the Notes as required by Section 3.05, on and after the redemption date, interest will cease to accrue on the Notes or portions of them called for redemption.  </w:t>
      </w:r>
    </w:p>
    <w:p>
      <w:pPr>
        <w:spacing w:after="0" w:line="205"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Any redemption of Notes (including in connection with an Equity Offering) or notice thereof may, in the Company’s discretion, be subject to satisfaction of one or more conditions precedent, which may include the consummation of any related Equity Offering.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3.05. Deposit of Redemption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On or before 10:00 a.m. New York City time on the redemption date, the Company shall deposit with the Paying Agent (or, if the Company or any Restricted Subsidiary is the Paying Agent, shall segregate and hold in trust) money sufficient to pay the redemption price of all Notes called for redemption on that date other than Notes that have previously been delivered by the Company to the Trustee for cancellation. Subject to actual receipt of such funds as provided by this Section 3.05 by the Paying Agent, such Paying Agent shall make payments in accordance with the provisions of this Indenture. The applicable Paying Agent shall return to the Company any money not required for that purpose.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3.06. Notes Redeemed in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Notes of $2,000 or less shall be redeemed in part, except that if all of the Notes of a Holder are to be redeemed, the entire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such Notes held by such Holder shall be redeemed. Upon surrender of a Note that is redeemed in part, the Company shall issue and, upon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Authentication Order, the Trustee or the Authenticating Agent shall authenticate for the Holder at the expense of the Company a new Note equal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to the unredeemed portion of the Note surrendered.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3.07.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3.08. Optional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On and after June 1, 2029, the Company may redeem all or a part of the Notes, upon not less than 10 nor more than 60 days’ prior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to Holders as provided under Section 3.02 and Section 3.03, at the following redemption prices (expressed as a percentage of principal amount),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unpaid interest to (but not including) the redemption date (subject to the right of Holders of record on the relevant record date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due on the Notes on the relevant interest payment date), if redeemed during the 12-month period commencing on June 1 of the years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3480" w:type="dxa"/>
            <w:vAlign w:val="bottom"/>
            <w:gridSpan w:val="4"/>
          </w:tcPr>
          <w:p>
            <w:pPr>
              <w:ind w:left="1880"/>
              <w:spacing w:after="0"/>
              <w:rPr>
                <w:sz w:val="20"/>
                <w:szCs w:val="20"/>
                <w:color w:val="auto"/>
              </w:rPr>
            </w:pPr>
            <w:r>
              <w:rPr>
                <w:rFonts w:ascii="Times New Roman" w:cs="Times New Roman" w:eastAsia="Times New Roman" w:hAnsi="Times New Roman"/>
                <w:sz w:val="18"/>
                <w:szCs w:val="18"/>
                <w:b w:val="1"/>
                <w:bCs w:val="1"/>
                <w:color w:val="auto"/>
              </w:rPr>
              <w:t> Redemption Price </w:t>
            </w:r>
          </w:p>
        </w:tc>
      </w:tr>
      <w:tr>
        <w:trPr>
          <w:trHeight w:val="20"/>
        </w:trPr>
        <w:tc>
          <w:tcPr>
            <w:tcW w:w="3260" w:type="dxa"/>
            <w:vAlign w:val="bottom"/>
            <w:shd w:val="clear" w:color="auto" w:fill="000000"/>
          </w:tcPr>
          <w:p>
            <w:pPr>
              <w:spacing w:after="0" w:line="20" w:lineRule="exact"/>
              <w:rPr>
                <w:sz w:val="1"/>
                <w:szCs w:val="1"/>
                <w:color w:val="auto"/>
              </w:rPr>
            </w:pPr>
          </w:p>
        </w:tc>
        <w:tc>
          <w:tcPr>
            <w:tcW w:w="194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36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104.750%</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3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102.375%</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236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bl>
    <w:p>
      <w:pPr>
        <w:jc w:val="right"/>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At any time prior to June 1, 2029, the Company may redeem on any one or more occasions up to 40% of the aggregate principal amount of the Notes (calculated after giving effect to any issuance of Additional Notes), upon not less than 10 nor more than 60 days’ prior notice to Holders as provided under Section 3.02 and Section 3.03, at a redemption price of 109.500% of the principal amount thereof, plus accrued and unpaid interest to (but not including) the redemption date, with the net cash proceeds of one or more Equity Offerings to the extent the net cash proceeds thereof are contributed to the Company or used to purchase from the Capital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p>
    <w:p>
      <w:pPr>
        <w:spacing w:after="0" w:line="205"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(1)            at least 50% of the aggregate principal amount of the Notes (calculated after giving effect to any issuance of Additional Notes) remains outstanding immediately after the occurrence of such redemption (excluding Notes held by OI Glass (or any Parent) and its Subsidiaries) (unless all Notes are redeemed substantially concurrently therewith);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            the redemption must occur within 180 days of the date of the closing of such Equity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At any time prior to June 1, 2029, the Company may redeem all or a part of the Notes, upon not less than 10 nor more than 60 days’ prior notice to Holders as provided under Section 3.02 and Section 3.03, at a redemption price equal to 100% of the principal amount of the Notes to be redeemed, plus the Applicable Premium as of, and accrued and unpaid interest to (but not including), the redemption date (subject to the right of Holders of record on the relevant record date to receive interest due on the Notes on the relevant interest payment date).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means, with respect to any Note on any redemption date, an amount equal to the 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such Note;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tabs>
          <w:tab w:leader="none" w:pos="2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hanging="324"/>
        <w:spacing w:after="0" w:line="250" w:lineRule="auto"/>
        <w:tabs>
          <w:tab w:leader="none" w:pos="2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at such redemption date of the sum of (1) 100% of the principal amount that would be payable on such Note on June 1, 2029 plus (2) all required interest payments due on such Note through June 1, 2029 (excluding accrued but unpaid interest to the redemption date) computed using a discount rate equal to the Treasury Rate as of such redemption date plus 50 basis points; over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 the outstanding principal amount of such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Treasury Rate</w:t>
      </w:r>
      <w:r>
        <w:rPr>
          <w:rFonts w:ascii="Times New Roman" w:cs="Times New Roman" w:eastAsia="Times New Roman" w:hAnsi="Times New Roman"/>
          <w:sz w:val="17"/>
          <w:szCs w:val="17"/>
          <w:color w:val="auto"/>
        </w:rPr>
        <w:t xml:space="preserve">” means, as of any redemption date, the yield to maturity as of such redemption date calculated as the average of the five most recent daily rates of U.S. Treasury securities with a constant maturity (as compiled and published in the most recent Selected Interest Rates (Daily)—H.15 release that has become publicly available at least two Business Days prior to the redemption date (or, if such release is no longer published, any publicly available source of similar market data)) most nearly equal to the period from the redemption date to June 1, 2029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period from the redemption date to June 1, 2029 is not equal to the constant maturity of a U.S. Treasury security for which a weekly average yield can be calculated, the Treasury Rate shall be obtained by linear interpolation (calculated to the nearest one-twelfth of a year) from the weekly average yields of United States Treasury securities for which such yields can be calculated except that if the period from the redemption date to June 1, 2029 is less than one year, the calculated weekly average yield on actually traded United States Treasury securities adjusted to a constant maturity of one year shall be used.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For the avoidance of doubt, the Trustee shall have no responsibility, obligation or liability for the calculation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 addition, the Company may acquire Notes by means other than a redemption, whether by tender offer, open market 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negotiated transactions or otherwise, in accordance with applicable securities laws, so long as such acquisition does not otherwise violate the terms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3.09.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3.10. Mandatory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shall not be required to make mandatory redemption or sinking fund payments with respect to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4.01. Payment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shall pay or cause to be paid the Principal of and interest on the Notes on the dates and in the manner provided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the Notes. Principal and interest shall be considered paid on the date due if the Paying Agent, if other than the Company or a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holds as of 10:00 a.m. New York City time on that date immediately available funds designated for and sufficient to pay all Principal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then due. Subject to actual receipt of such funds as provided by this Section 4.01 by the applicable Paying Agent, such Paying Agent shall make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on the Notes in accordance with the provisions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 the extent lawful, the Company shall pay interest on overdue Principal and overdue installments of interest at the rate per annum borne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4.02. Maintenance of Office 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shall maintain in the Borough of Manhattan, The City of New York, an office or agency (which may be an office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or an affiliate of the Trustee or Registrar) where Notes may be surrendered for registration of transfer or exchange and where notices and demands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or upon the Company in respect of the Notes and this Indenture may be served. The Company shall give prompt written notice to the Trustee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and any change in the location, of such office or agency. If at any time the Company shall fail to maintain any such required office or agency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fail to furnish the Trustee with the address thereof, such presentations, surrenders, notices and demands may be made or served at the Corporate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Trustee. The address of the Corporate Trust Office for the Trustee located in the Borough of Manhattan, The City of New York is 250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6th Floor New York, NY 10177. The Company may also from time to time designate one or more other offices or agencies where the Notes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designation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rescission shall in any manner relieve the Company of its obligation to maintain an office or agency in the Borough of Manhattan, The City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purposes. The Company shall give prompt written notice to the Trustee of any such designation or rescission and of any change in the location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other office or agency. The Company hereby designates the Corporate Trust Office of the Trustee as one such office or agency of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Section 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4.03. Reports.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Whether or not required by the Commission, so long as any Notes are outstanding, OI Group shall furnish to the Trustee and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Notes, within the time periods specified in the Commission’s 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financial information that would be required to be contained in a filing with the Commission on Forms 10-Q and 10-K if OI Group were required to file such Forms, including a “Management’s Discussion and Analysis of Financial Condition and Results of Operations” and, with respect to the annual information only, a report on the annual financial statements by OI Group’s independent registered public accountants;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Commission on Form 8-K if OI Group were required to file such reports.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In addition, for so long as any Notes remain outstanding, the Company and the Guarantors shall furnish to the Holders and to securities analysts and prospective investors, upon their request, the information required to be delivered pursuant to Rule 144A(d)(4) under the Securities Act.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Section 4.03, OI Group shall be deemed to have furnished the information and reports to the Trustee and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required by this Section 4.03 if OI Group has filed such reports with the Commission via the EDGAR filing system and such information and reports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publicly available or, provided the Trustee and the Holders are given prior written notice of such practice before the first posting thereof, OI Group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posted such information and reports on any Parent’s website and such information and reports are publicly available, including to the Trustee,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analysts and prospective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OI Group shall be deemed to have satisfied the requirements of this Section 4.03 if any Parent files with the Commission via the EDGAR filing system reports, documents and information of the Parent of the types otherwise so required, in each case, within the applicable time periods, or, provided the Trustee and the Holders are given prior written notice of such practice before the first posting thereof, any Parent posts such information and reports on its website and such information and reports are publicly available, including to the Trustee, the Holders, securities analysts and prospective investors. If such Parent holds assets or has material operations separate and apart from its ownership of OI Group, then OI Group or such Parent shall provide consolidating information, which need not be audited, that explains in reasonable detail the differences between the information relating to such Parent and its Subsidiaries, on the one hand, and the information relating to OI Group and its Subsidiaries on a standalone basis, on the other hand.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the extent any such information is not so filed or furnished, as applicable, within the time periods specified above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is subsequently filed or furnished, as applicable, the Company will be deemed to have satisfied its obligations with respect thereto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Default with respect thereto shall be deemed to have been cured; provided that such cure shall not otherwise affect the rights of the Holders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6.02 if Holders of at least 30% in principal amount of the outstanding Notes have declared the principal, premium, if any, interest and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monetary obligations on all the then outstanding Notes to be due and payable immediately and such declaration shall not have been rescinded or cancelled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such cure.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thereof shall not constitute constructive or actual notice or knowledge of any information contained therein or determinable from information contained therein including the Company’s compliance with any covenants hereunder (as to which the Trustee is entitled to rely conclusively on any Officers’ Certificate) and the Trustee shall have no responsibility or liability for the filing, timeliness or content of any such filings or reports by the Company.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4.04.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of the Company, an Officers’ Certificate stating that in the course of the performance by the signers of their duties as officers of the Company, they would normally have knowledge of any failure by the Company to comply with all conditions, or default by the Company with respect to any covenants, under this Indenture, and further stating whether or not they have knowledge of any such failure or default and, if so, specifying each such failure or default and the nature thereof. For purposes of this Section 4.04, such compliance shall be determined without regard to any period of grace or requirement of notice provided for in this Indenture.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shall, so long as any of the Notes are outstanding, deliver to the Trustee, forthwith upon becoming aware of any Default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an Officers’ Certificate specifying such Default or Event of Default and what action the Company is taking or proposes to take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4.05.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shall pay, prior to delinquency, all material taxes, except as contested in good faith by appropriate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4.06. Stay, Extension and Usury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4.07.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4.08. Offer to Repurchase Upon a Change of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If a Change of Control occurs, unless the Company has exercised its right to redeem all the Notes under Section 3.08 hereof, each Holder of Notes shall have the right to require the Company to repurchase all or any part (equal to $2,000 or integral multiples of $1,000 in excess thereof) of that Holder’s Notes pursuant to a change of control offer on the terms set forth in this Indenture (a </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In the Change of Control Offer, the Company shall offer a payment in cash equal to 101% of the aggregate principal amount of Notes repurchased, plus accrued and unpaid interest thereon, to (but not including) the date of purchase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Within 30 days following any Change of Control or, at the Company’s option, prior to the consummation of such Change of Control but after the public announcement thereof, the Company shall provide a notice to each Holder at its registered address (with a copy to the Trustee) describing the transaction or transactions that constitute the Change of Control and offering to repurchase Notes on the date specified in such notice. The notice shall contain all instructions and materials necessary to enable such Holder to tender Notes pursuant to the Change of Control Offer. Any Change of Control Offer shall be made to all Holders. The notice, which shall govern the terms of the Change of Control Offer, shall state: (1) that the Change of Control Offer is being made pursuant to this Section 4.08; (2) the Change of Control Payment and the date on which Notes tendered and accepted for payment shall be purchased, which date shall be no earlier than 10 days and no later than 60 days from the date such notice is provided (other than as required by law) (the “</w:t>
      </w:r>
      <w:r>
        <w:rPr>
          <w:rFonts w:ascii="Times New Roman" w:cs="Times New Roman" w:eastAsia="Times New Roman" w:hAnsi="Times New Roman"/>
          <w:sz w:val="18"/>
          <w:szCs w:val="18"/>
          <w:i w:val="1"/>
          <w:iCs w:val="1"/>
          <w:color w:val="auto"/>
        </w:rPr>
        <w:t>Change of Control Payment Date</w:t>
      </w:r>
      <w:r>
        <w:rPr>
          <w:rFonts w:ascii="Times New Roman" w:cs="Times New Roman" w:eastAsia="Times New Roman" w:hAnsi="Times New Roman"/>
          <w:sz w:val="18"/>
          <w:szCs w:val="18"/>
          <w:color w:val="auto"/>
        </w:rPr>
        <w:t>”); (3) that any Note not tendered or accepted for payment shall continue to accrete or accrue interest; (4) that, unless the Company defaults in making such payment, any Note accepted for payment pursuant to the Change of Control Offer shall cease to accrete or accrue interest after the Change of Control Payment Date; (5) that Holders electing to have a Note purchased pursuant to any Change of Control Offer shall be required to surrender the Note, with the form entitled “Option of Holder to Elect Purchase” on the reverse of the Note completed, or transfer by book-entry transfer, to the Company, a depositary, if appointed by the Company, or the Paying Agent at the address specified in the notice at least three days before the Change of Control Payment Date; (6) that Holders shall be entitled to withdraw their election if the Company, the depositary or the Paying Agent, as the case may be, receives, not later than the Change of Control Payment Date, a notice setting forth the name of the Holder, the principal amount of the Note the Holder delivered for purchase and a statement that such Holder is withdrawing his election to have such Note purchased; (7) that Notes and portions of Notes purchased shall be in amounts of $2,000 or an integral multiple of $1,000 in excess thereof, except that if all of the Notes of a Holder are to be purchased, the entire outstanding amount of Notes held by such Holder, even if not $2,000 or an integral multiple of $1,000 in excess thereof, shall be purchased; and (8) that Holders whose Notes were purchased only in part shall be issued new Notes equal in principal amount to the unpurchased portion of the Notes surrendered (or transferred by book-entry transfer), which unpurchased portion must be equal to $2,000 or an integral multiple of $1,000 in excess thereof. The Company shall comply with the requirements of Rule 14e-1 under the Exchange Act and any other securities laws and regulations thereunder to the extent such laws and regulations are applicable in connection with the repurchase of the Notes as a result of a Change of Control. To the extent that the provisions of any securities laws or regulations conflict with the Change of Control provisions of this Indenture, the Company shall comply with the applicable securities laws and regulations and shall not be deemed to have breached its obligations under the Change of Control provisions of this Indenture by virtue of such conflict.  </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 the Change of Control Payment Date, the Company shall, to the extent lawful: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properly tendered pursuant to the Change of Control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thereof so tendered;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Paying Agent shall promptly cause to be delivered to each Holder of Notes so tendered the Change of Control Payment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the Trustee (or an authentication agent appointed by it) shall promptly authenticate and mail (or cause to be transferred by book entry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represented by global certificates in accordance with the procedures of DTC) to each Holder a new Note equal in principal amount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Note shall be in a principal amount of $2,000 or an integral multiple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in excess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shall publicly announce the results of the Change of Control Offer on or as soon as practicable after the Change of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provisions set forth above that require the Company to make a Change of Control Offer following a Change of Control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after a discharge of this Indenture pursuant to Section 8.01 or defeasance from the Company’s legal obligations with respect to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8.03 or Section 8.04.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this Section 4.08, the Company shall not be required to make a Change of Control Offer upon a Change of Control if (i) a third party makes the Change of Control Offer in the manner, at the times and otherwise in compliance with the requirements set forth in this Section 4.08 and purchases all Notes validly tendered and not withdrawn under such Change of Control Offer or (ii) notice of redemption has been given pursuant to Section 3.08, unless and until there is a default in payment of the applicable redemption price.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 a Change of Control Offer may be made in advance of a Change of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conditioned upon the consummation of such Change of Control, if a definitive agreement is in place providing for the Change of Control at the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Offer is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In the event Holders of not less than 90% of the aggregate principal amount of the outstanding Notes tender and do not withdraw such Notes in a Change of Control Offer and the Company purchases all the properly tendered and not withdrawn Notes held by such Holders, within 90 days of such purchase, the Company will have the right, upon not less than 10 days and not more than 60 days prior notice to Holders as provided under Section 3.03, to redeem all the Notes that remain outstanding following such purchase at a redemption price equal to the Change of Control Payment (it being understood that the date of purchase for purposes of such definition is the redemption date) (subject to the right of Holders of record on the relevant record date to receive interest due on the Notes on the relevant interest payment date).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4.09.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Neither OI Group nor any Restricted Subsidiary of OI Group shall create, incur, or permit to exist, any Lien on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whether now owned or hereafter acquired, in order to secure any Indebtedness of either of OI Group or any Restricted Subsidiary of OI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effectively providing that the Notes (together with, at the option of OI Group, any other Indebtedness of OI Group or any Restricted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 Group ranking equally in right of payment with the Notes for so long as the Notes are secured pursuant to this Section 4.09) shall be secured equally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ratably with (or at the option of OI Group, with higher Lien priority to) such Indebtedness until such time as such Indebtedness is no longer secured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Lien,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securing obligations in respect of letters of credit in accordance with the terms of the Credit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Issue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Issue Date on any assets of OI Group or any of its Restricted Subsidiaries securing Indebtedness of OI Group or any of its Restricted Subsidiaries created in favor of the Holders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hanging="656"/>
        <w:spacing w:after="0" w:line="250" w:lineRule="auto"/>
        <w:tabs>
          <w:tab w:leader="none" w:pos="1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which is incurred to extend, renew or refinance, in whole or in part, Indebtedness which is secured by Liens permitted to be incurred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or cover any assets of OI Group or any Restricted Subsidiary of OI Group other than the assets securing the Indebtedness being extended, renewed or refinanced (plus improvements, accessions, proceeds, dividends or distributions thereof) and that the principal or commitment amount of such Indebtedness does not exceed the principal or commitment amount of the Indebtedness being extended, renewed or refinanced at the time of such extension, renewal or refinancing, or at the time the Lien was issued, created or assumed or otherwise permitted (plus Indebtedness incurred to pay interest or premiums and costs, expenses and fees incurred in connection with such extension, renewal or refinancing);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substitution of or as replacements for any Liens permitted by the preceding clauses (1) through (5) or this clause</w:t>
      </w:r>
    </w:p>
    <w:p>
      <w:pPr>
        <w:spacing w:after="0" w:line="9" w:lineRule="exact"/>
        <w:rPr>
          <w:rFonts w:ascii="Times New Roman" w:cs="Times New Roman" w:eastAsia="Times New Roman" w:hAnsi="Times New Roman"/>
          <w:sz w:val="18"/>
          <w:szCs w:val="18"/>
          <w:color w:val="auto"/>
        </w:rPr>
      </w:pPr>
    </w:p>
    <w:p>
      <w:pPr>
        <w:jc w:val="both"/>
        <w:ind w:left="19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provided that, based on a good faith determination of an Officer of the Company, the assets encumbered under any such substitute or replacement Lien are substantially similar in value to the assets encumbered by the otherwise permitted Lien which is being replaced.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Any Lien that is granted to secure the Notes under this Section 4.09 shall be automatically released and discharged at the same time as the release of the Lien that gave rise to the obligation to secure the Notes under this Section 4.09.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long as the Credit Agreement is in effect, if the Notes are secured pursuant to the first sentence of this Section 4.09 in connection with securing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New Senior Debt, the Notes shall be considered equally and ratably secured if they are secured pursuant to terms and provisions,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or other exclusions or exceptions described therein, no less favorable to the Holders of the Notes than those set forth in, or contemplated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with respect to any Specified New Senior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4.10. Limitation on Sale and Leaseback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OI Group shall not, nor shall it permit any of its Restricted Subsidiaries to, enter into any arrangement with any other Person pursuant to which OI Group or any of its Restricted Subsidiaries leases any Principal Property that has been or is to be sold or transferred by OI Group or the Restricted Subsidiary to such other Person (a “</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except that a Sale and Leaseback Transaction is permitted if OI Group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  </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following Sale and Leaseback Transactions are not subject to the limitation set forth in Section 4.10(a) and the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Section 4.09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including renewals at the option of the lessee, of not more than three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between only OI Group and a Restricted Subsidiary of OI Group or only between Restricted Subsidiaries of OI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where the proceeds from the sale of the subject property are at least equal to the Fair Market Value (as determined in good faith by OI Group) of the subject property and OI Group or such Restricted Subsidiary (as applicable) applies an amount equal to the net proceeds of the sale to the retirement of long-term Indebtedness or the purchase, construction, development, expansion or improvement of other property or equipment used or useful in its business, within 270 days of the effective date of such sale; provided that in lieu of applying such amount to the retirement of long-term Indebtedness, OI Group may deliver Notes to the Trustee for cancellation;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4.11. Limitations on Issuances of Guarantees of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OI Group shall not permit any of its Domestic Subsidiaries, directly or indirectly, to Guarantee the payment of any other Indebtedness of the Company or OI Group unless such Domestic Subsidiary simultaneously executes and delivers a supplemental indenture providing for the Guarantee of the payment of the Notes by such Domestic Subsidiary, which Guarantee shall be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Subsidiary’s Guarantee of such other Indebtedness. In addition, OI Group shall not permit any Foreign Subsidiary, directly or indirectly, to Guarantee the payment of any of the Existing Senior Notes unless such Foreign Subsidiary simultaneously executes and delivers a supplemental indenture providing for the Guarantee of the payment of the Notes by such Foreign Subsidiary, which Guarantee shall be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Subsidiary’s Guarantee of such other Existing Senior Notes.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the preceding paragraph, such Guarantee shall be automatically and unconditionally released and discharged as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Section 10.10.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5.01. Merger, Consolidation or Sale of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OI Group shall not, in any transaction or series of transactions, merge or consolidate with or into or, directly or indirectly, Transfer all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its properties and assets to, any Person or Persons, and OI Group shall not permit any of its Restricted Subsidiaries to enter into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or series of transactions if such transaction or series of transactions, in the aggregate, would result in a Transfer of all or substantially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and assets of OI Group and its Restricted Subsidiaries, on a consolidated basis, to any other Person or Persons, unless at the time and after giving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OI Group or such Restricted Subsidiary, as the case may be, is the surviving corporation; or (b) the Person formed by or surviving any such consolidation or merger (if other than OI Group or such Restricted Subsidiary) (the “</w:t>
      </w:r>
      <w:r>
        <w:rPr>
          <w:rFonts w:ascii="Times New Roman" w:cs="Times New Roman" w:eastAsia="Times New Roman" w:hAnsi="Times New Roman"/>
          <w:sz w:val="18"/>
          <w:szCs w:val="18"/>
          <w:i w:val="1"/>
          <w:i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or to which such Transfer shall have been made is a corporation organized or existing under the laws of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any state thereof or the District of Columbia;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Company (if other than OI Group or such Restricted Subsidiary) or the Person to which such Transfer shall have been made assumes by supplemental indenture executed by the Successor Company or Person, as the case may be, and delivered to the Trustee, all the obligations of OI Group or such Restricted Subsidiary (if such Restricted Subsidiary is a Guarantor), as the case may be, under the Notes and this Indenture;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 Group or the Successor Company formed by or surviving any such consolidation or merger (if other than OI Group), or the Person to which such Transfer shall have been made, delivers or causes to be delivered to the Trustee an Officers’ Certificate and an Opinion of Counsel each stating that such transaction or series of transactions and the supplemental indenture in respect thereto comply with this Indenture and that all conditions precedent provided for in this Indenture relating to such transaction and the supplemental indenture have been complied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This Section 5.01 shall not apply (other than with respect to the Company) to (i) a merger or consolidation of any Restricted Subsidiary of OI Group into OI Group, a merger or consolidation of any Restricted Subsidiary of OI Group with or into any other Restricted Subsidiary of OI Group or the Transfer of assets between or among any such Restricted Subsidiaries and (ii) a merger or consolidation of OI Group into any Restricted Subsidiary of OI Group or a Transfer of assets from OI Group to any of its Restricted Subsidiaries so long as all assets of OI Group and its Restricted Subsidiaries immediately prior to such transaction (other than Capital Stock of such Restricted Subsidiary) are owned by OI Group (if applicable), such Restricted Subsidiary, its Restricted Subsidiaries and/or any other Restricted Subsidiaries of OI Group in existence immediately prior to such transaction.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5.02. Successor Corporation Substituted.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Upon any consolidation or merger, or any transfer by OI Group or its Restricted Subsidiaries (other than by lease) of all or substantially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assets of OI Group in accordance with Section 5.01, the Successor Company or the Person to which such transfer is made shall succeed to, and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substituted for, and may exercise every right and power of the Company and OI Group under this Indenture with the same effect as if such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Person had been named as the Company and OI Group herein. In the event of any such transfer, the Company and OI Group shall be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discharged from all liabilities and obligations in respect of the Notes and this Indenture, and Company and OI Group may be dissolved, wound up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liquidated at any time thereafter.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xml:space="preserve"> occurs with respect to the Notes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interest on the Notes when the same becomes due and payable and the default continues for a period of 30 days;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the Notes when the same becomes due and payable at maturity, upon redemption or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failure by OI Group or any of its Restricted Subsidiaries to comply with the provisions of Section 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OI Group or any of its Restricted Subsidiaries for 60 days after notice from the Trustee or the Holders of at least 30% in principal amount of the Notes then outstanding under this Indenture to comply with any of the other agreements (other than those specified in clause (3) above) in this Indenture, the Notes and the Guarantees of the Notes (with respect to any Guarantor);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OI Group or any Restricted Subsidiary (or the payment of which is guaranteed by OI Group or any of its Restricted Subsidiaries) whether such Indebtedness or Guarantee now exists, or is created after the Issue Date, if that default: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line="250" w:lineRule="auto"/>
        <w:tabs>
          <w:tab w:leader="none" w:pos="2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results in the acceleration of such Indebtedness prior to its express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spacing w:after="0" w:line="250" w:lineRule="auto"/>
        <w:rPr>
          <w:sz w:val="20"/>
          <w:szCs w:val="20"/>
          <w:color w:val="auto"/>
        </w:rPr>
      </w:pPr>
      <w:r>
        <w:rPr>
          <w:rFonts w:ascii="Times New Roman" w:cs="Times New Roman" w:eastAsia="Times New Roman" w:hAnsi="Times New Roman"/>
          <w:sz w:val="18"/>
          <w:szCs w:val="18"/>
          <w:color w:val="auto"/>
        </w:rPr>
        <w:t>and in any individual case, (i) the principal amount of any such Indebtedness is equal to or in excess of $100.0 million, or such Indebtedness together with the principal amount of any other such Indebtedness under which there has been a Payment Default or the maturity of which has been so accelerated, aggregates $200.0 million or more and (ii) OI Group has received notice specifying the default from the Trustee or the Holders of at least 30% in principal amount of the Notes then outstanding under this Indenture and does not cure the default within 30 days;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960" w:hanging="656"/>
        <w:spacing w:after="0" w:line="250"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final judgment or order for payment of money in excess of $100.0 million in any individual case and $200.0 million in the aggregate at any time shall be rendered against OI Group or any of its Restricted Subsidiaries and such judgment or order shall not have been paid, discharged or stayed for a period of 60 days after its entry;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any Guarantee of the Notes by OI Group or any Guarantor that is a Significant Subsidiary shall be held in any judicial proceeding to be unenforceable or invalid or shall cease for any reason to be in full force and effect or OI Group or any Guarantor that is a Significant Subsidiary, or any Person acting on behalf of any such Guarantor, shall deny or disaffirm its obligations under its Guarantee of the Notes;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the Company, OI Group or any Significant Subsidiary of OI Group pursuant to or within the meaning of any Bankruptcy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commences a voluntary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consents to the entry of an order for relief against it in an involuntary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color w:val="auto"/>
        </w:rPr>
        <w:t>makes a general assignment for the benefit of its creditors;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admits in writing its inability generally to pay its debts as the same become due;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is for relief against the Company, OI Group or any Significant Subsidiary of OI Group in an involuntary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hanging="648"/>
        <w:spacing w:after="0" w:line="250" w:lineRule="auto"/>
        <w:tabs>
          <w:tab w:leader="none" w:pos="2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OI Group or any Significant Subsidiary of OI Group or for all or substantially all of such entity’s property;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orders the liquidation of the Company, OI Group or any Significant Subsidiary of OI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The term “Bankruptcy Law” means Title 11, U.S. Code or any similar federal or state law for the relief of debtors. The term “Custodian” means any receiver, trustee, assignee, liquidator or similar official under any Bankruptcy Law.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Pursuant to Section 4.04, forthwith upon becoming aware of any Default or Event of Default, the Company shall deliver to the Trustee an Officers’ Certificate specifying such Default or Event of Default and what action the Company is taking or proposes to take with respect thereto.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Any Default or Event of Default for the failure to comply with the time periods prescribed in Section 4.03 or otherwise to deliver any notice or certificate pursuant to any other provision hereof shall be deemed to be cured upon the delivery of any such report required by Section 4.03 or such notice or certificate, as applicable, even though such delivery is not within the prescribed period specified in this Indenture.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6.02. Acceleration.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If an Event of Default other than an Event of Default specified in clauses (8) and (9) of Section 6.01, occurs and is continuing,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by notice to the Company, or the Holders of at least 30% in principal amount of the then outstanding Notes by notice in writing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Trustee, in the case of notice by the Holders, specifying the respective Event of Default and that it is a “notice of acceleration” may declare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unpaid Principal of and any accrued and unpaid interest on all the Notes to be due and payable immediately. Upon such declaration the Principal (or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lesser amount) and interest shall be due and payable immediately. If an Event of Default specified in clauses (8) or (9) of Section 6.01 occurs,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Notes shall become and be due and payable immediately without any declaration, act or notice or other act on the part of the Trustee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The Holders of a majority in principal amount of the then outstanding Notes by notice to the Trustee may, on behalf of the Holders of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rescind an acceleration and its consequences if the rescission would not conflict with any judgment or decree and if all existing Events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cured or waived except non-payment of Principal (or such lesser amount) or interest, if any, that has become due solely because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Any notice of Default, notice of acceleration or instruction to the Trustee to provide a notice of Default, notice of acceleration or take any other action (a “</w:t>
      </w:r>
      <w:r>
        <w:rPr>
          <w:rFonts w:ascii="Times New Roman" w:cs="Times New Roman" w:eastAsia="Times New Roman" w:hAnsi="Times New Roman"/>
          <w:sz w:val="18"/>
          <w:szCs w:val="18"/>
          <w:i w:val="1"/>
          <w:iCs w:val="1"/>
          <w:color w:val="auto"/>
        </w:rPr>
        <w:t>Noteholder Direction</w:t>
      </w:r>
      <w:r>
        <w:rPr>
          <w:rFonts w:ascii="Times New Roman" w:cs="Times New Roman" w:eastAsia="Times New Roman" w:hAnsi="Times New Roman"/>
          <w:sz w:val="18"/>
          <w:szCs w:val="18"/>
          <w:color w:val="auto"/>
        </w:rPr>
        <w:t>”) provided by any one or more Holders (each, a “</w:t>
      </w:r>
      <w:r>
        <w:rPr>
          <w:rFonts w:ascii="Times New Roman" w:cs="Times New Roman" w:eastAsia="Times New Roman" w:hAnsi="Times New Roman"/>
          <w:sz w:val="18"/>
          <w:szCs w:val="18"/>
          <w:i w:val="1"/>
          <w:iCs w:val="1"/>
          <w:color w:val="auto"/>
        </w:rPr>
        <w:t>Directing Holder</w:t>
      </w:r>
      <w:r>
        <w:rPr>
          <w:rFonts w:ascii="Times New Roman" w:cs="Times New Roman" w:eastAsia="Times New Roman" w:hAnsi="Times New Roman"/>
          <w:sz w:val="18"/>
          <w:szCs w:val="18"/>
          <w:color w:val="auto"/>
        </w:rPr>
        <w:t>”) must be accompanied by a written representation from each such Holder delivered to the Company and the Trustee that such Holder is not (or, in the case such Holder is Depositary or its nominee, that such Holder is being instructed solely by beneficial owners that have represented to such Holder that they are not) Net Short (a “</w:t>
      </w:r>
      <w:r>
        <w:rPr>
          <w:rFonts w:ascii="Times New Roman" w:cs="Times New Roman" w:eastAsia="Times New Roman" w:hAnsi="Times New Roman"/>
          <w:sz w:val="18"/>
          <w:szCs w:val="18"/>
          <w:i w:val="1"/>
          <w:iCs w:val="1"/>
          <w:color w:val="auto"/>
        </w:rPr>
        <w:t>Position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w:t>
      </w:r>
      <w:r>
        <w:rPr>
          <w:rFonts w:ascii="Times New Roman" w:cs="Times New Roman" w:eastAsia="Times New Roman" w:hAnsi="Times New Roman"/>
          <w:sz w:val="18"/>
          <w:szCs w:val="18"/>
          <w:color w:val="auto"/>
        </w:rPr>
        <w:t>”), with representation, in the case of a Noteholder Direction relating to the delivery of a notice of Default shall be deemed a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 until the resulting Event of Default is cured or otherwise ceases to exist or the Notes are accelerated. In addition, each Directing Holder is deemed, at the time of providing a Noteholder Direction, to covenant to provide the Company with such other information as the Company may reasonably request from time to time in order to verify the accuracy of such noteholder’s Position Representation within five Business Days of request thereof (a “</w:t>
      </w:r>
      <w:r>
        <w:rPr>
          <w:rFonts w:ascii="Times New Roman" w:cs="Times New Roman" w:eastAsia="Times New Roman" w:hAnsi="Times New Roman"/>
          <w:sz w:val="18"/>
          <w:szCs w:val="18"/>
          <w:i w:val="1"/>
          <w:iCs w:val="1"/>
          <w:color w:val="auto"/>
        </w:rPr>
        <w:t>Verification Covenant</w:t>
      </w:r>
      <w:r>
        <w:rPr>
          <w:rFonts w:ascii="Times New Roman" w:cs="Times New Roman" w:eastAsia="Times New Roman" w:hAnsi="Times New Roman"/>
          <w:sz w:val="18"/>
          <w:szCs w:val="18"/>
          <w:color w:val="auto"/>
        </w:rPr>
        <w:t>”). In any case in which the Holder is the Depositary or its nominee, any Position Representation or Verification Covenant required hereunder shall be provided by the beneficial owner of the notes in lieu of the Depositary or its nominee and the Depositary shall be entitled to conclusively rely on such Position Representation and Verification Covenant in delivering its direction to the Trustee. In no event shall the Trustee have any liability or obligation to ascertain, monitor or inquire as to whether any Holder is Net Short and/or whether such Holder has delivered any Position Representation, Verification Covenant, Noteholder Direction, or any related certifications under this Indenture or in connection with the Notes or if any such Position Representation, Verification Covenant, Noteholder Direction, or any related certifications comply with this Indenture, the Notes, or any other document. It is understood and agreed that the Company and the Trustee shall be entitled to conclusively rely on each representation, deemed representation and certification made by, and covenant of, each beneficial owner provided for in this paragraph. Notwithstanding any other provision of this Indenture, the Notes or any other document, the provisions of this paragraph shall apply and survive with respect to each beneficial owner notwithstanding that any such Person may have ceased to be a beneficial owner, this Indenture may have been terminated or the Notes may have been redeemed in full.  </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stating that the Company has initiated litigation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Default shall be automatically stayed and the cure period with respect to such Default or Event of Default shall be automatically reinstituted and any remedy stayed pending a final and non-appealable determination of a court of competent jurisdiction on such matter if, without the participation of such Holder, the percentage of Notes held by the remaining Holders that provided such Noteholder Direction would have been insufficient to validly provide such Noteholder Direction.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If, following the delivery of a Noteholder Direction, but prior to acceleration of the Notes, the Company provides to the Trustee an Officers’ Certificate stating that a Directing Holder failed to satisfy its Verification Covenant, the cure period with respect to such Default or Event of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(other than any indemnity such Directing Holder may have offered the Trustee), with the effect that such Default or Event of Default shall be deemed never to have occurred, acceleration voided and the Trustee shall be deemed not to have received such Noteholder Direction or any notice of such Default or Event of Default.  </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(e)            Notwithstanding anything in Section 6.03(b), (c) or (d) hereof to the contrary, any Noteholder Direction delivered to the Trustee during the pendency of an Event of Default as the result of a bankruptcy or similar proceeding shall not require compliance with the foregoing paragraphs.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(f)            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Company, any Holder or any other Person in acting in good faith on a Noteholder Direction.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6.03. Other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If an Event of Default with respect to the Notes occurs and is continuing, the Trustee may pursue any available remedy to collect the payment of Principal or interest on the Notes or to enforce the performance of any provision of the Notes or this Indenture.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6.04. Waiver of Past Defaults.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Subject to Section 9.02, the Holders of a majority in principal amount of the then outstanding Notes, by notice to the Trustee, may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Holders of all of the Notes waive an existing Default or Event of Default and its consequences under this Indenture except a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or Event of Default in the payment of interest on, or the Principal of any Note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Holders of a majority in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the outstanding Notes may rescind an acceleration and its consequences, including any related payment default that resulted from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6.05. Control by Majority.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Holders of a majority in principal amount of the then outstanding Notes may direct the time, method and place of conducting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for exercising any remedy available to the Trustee or exercising any trust or power conferred on it. However, the Trustee may refuse to follow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direction that conflicts with law or this Indenture, that is unduly prejudicial to the rights of another Holder of Notes (however the Trustee shall not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obligation to determine this), or that may involve the Trustee in personal liability. The Trustee may take any other action which it deems proper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inconsistent with any such direction.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6.06. Limitation on Suits.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Holder of Notes may not pursue a remedy with respect to this Indenture, the Notes or any Guarantee of Notes, if any,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Holder gives to the Trustee written notice of a continuing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Holders of at least 30% in principal amount of the then outstanding Notes make a written request to the Trustee to pursue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such Holder or Holders offer to the Trustee indemnity and/or security satisfactory to the Trustee against any loss, liability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Trustee does not comply with the request within 30 days after receipt of the request and, if requested, the provision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and/or security;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during such 30-day period the Holders of a majority in principal amount of the then outstanding Notes do not give the Trustee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direction inconsistent with the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The Trustee may withhold from Holders notice of any continuing Default or Event of Default (except a Default or Event of Default relating to the payment of Principal or interest) if it determines that withholding notice is in the interest of such Holders.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Holder of any Notes may use this Indenture to prejudice the rights of another Holder of Notes or to obtain a preference or priority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another Holder of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6.07. Rights of Holders to Receive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Note to bring suit for the enforcement of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 and interest, if any, on the Note, on or after the respective due dates expressed in the Note, shall not be impaired or affected without the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the 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Holder shall not have the right to institute any such suit for the enforcement of payment if and to the extent that the institution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prosecution thereof or the entry of judgment therein would, under applicable law, result in the surrender, impairment, waiver or loss of the Lien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upon any property subject to such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6.08. Collection Suit by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If an Event of Default specified in Section 6.01(1) or (2) occurs and is continuing with respect to Notes, the Trustee may recover judgment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own name and as trustee of an express trust against the Company for the whole amount of Principal (or such portion of the Principal as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as due upon acceleration at that time) and interest, if any, remaining unpaid on the Notes then outstanding, together with (to the extent lawful)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overdue Principal and interest, and such further amount as shall be sufficient to cover the costs and, to the extent lawful, expenses of collection,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reasonable compensation, expenses, disbursements and advances of the Trustee, its agents and counsel and any other amounts due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7.06.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6.09. Trustee May File Proofs of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Trustee may file such proofs of claim and other papers or documents as may be necessary or advisable in order to have the claims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and the Holders allowed in any judicial proceedings relative to the Company (or any other obligor on the Notes), its creditors or its property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entitled to and empowered to collect and receive any money or other property payable or deliverable on any such claims and to distribute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custodian in any such judicial proceedings is hereby authorized by each Holder to make such payments to the Trustee and, in the event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shall consent to the making of such payments directly to the Holders, to pay to the Trustee any amount due to it for the reasonable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disbursements and advances of the Trustee, its agents and counsel, and any other amounts due the Trustee under Section 7.06. Nothing contained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shall be deemed to authorize the Trustee to authorize or consent to or accept or adopt on behalf of any Holder any plan of reorganization,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adjustment or composition affecting the Notes or the rights of any Holder thereof, or to authorize the Trustee to vote in respect of the claim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Holder in any such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6.10. Priorities.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First:</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the Trustee, its agents and attorneys and the Agents, their agents and attorneys for amounts due under Section 7.06,</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including payment of all compensation, expenses and liabilities incurred, and all advances made, by the Trustee and the</w:t>
            </w:r>
          </w:p>
        </w:tc>
        <w:tc>
          <w:tcPr>
            <w:tcW w:w="0" w:type="dxa"/>
            <w:vAlign w:val="bottom"/>
          </w:tcPr>
          <w:p>
            <w:pPr>
              <w:spacing w:after="0"/>
              <w:rPr>
                <w:sz w:val="1"/>
                <w:szCs w:val="1"/>
                <w:color w:val="auto"/>
              </w:rPr>
            </w:pPr>
          </w:p>
        </w:tc>
      </w:tr>
      <w:tr>
        <w:trPr>
          <w:trHeight w:val="234"/>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expenses of collection;</w:t>
            </w:r>
          </w:p>
        </w:tc>
        <w:tc>
          <w:tcPr>
            <w:tcW w:w="0" w:type="dxa"/>
            <w:vAlign w:val="bottom"/>
          </w:tcPr>
          <w:p>
            <w:pPr>
              <w:spacing w:after="0"/>
              <w:rPr>
                <w:sz w:val="1"/>
                <w:szCs w:val="1"/>
                <w:color w:val="auto"/>
              </w:rPr>
            </w:pPr>
          </w:p>
        </w:tc>
      </w:tr>
      <w:tr>
        <w:trPr>
          <w:trHeight w:val="198"/>
        </w:trPr>
        <w:tc>
          <w:tcPr>
            <w:tcW w:w="2080" w:type="dxa"/>
            <w:vAlign w:val="bottom"/>
            <w:vMerge w:val="continue"/>
          </w:tcPr>
          <w:p>
            <w:pPr>
              <w:spacing w:after="0"/>
              <w:rPr>
                <w:sz w:val="17"/>
                <w:szCs w:val="17"/>
                <w:color w:val="auto"/>
              </w:rPr>
            </w:pPr>
          </w:p>
        </w:tc>
        <w:tc>
          <w:tcPr>
            <w:tcW w:w="9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Second:</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Holders for amounts due and unpaid on the Notes for Principal and interest, ratably, without preference or priority of any</w:t>
            </w:r>
          </w:p>
        </w:tc>
        <w:tc>
          <w:tcPr>
            <w:tcW w:w="0" w:type="dxa"/>
            <w:vAlign w:val="bottom"/>
          </w:tcPr>
          <w:p>
            <w:pPr>
              <w:spacing w:after="0"/>
              <w:rPr>
                <w:sz w:val="1"/>
                <w:szCs w:val="1"/>
                <w:color w:val="auto"/>
              </w:rPr>
            </w:pPr>
          </w:p>
        </w:tc>
      </w:tr>
      <w:tr>
        <w:trPr>
          <w:trHeight w:val="234"/>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kind, according to the amounts due and payable on the Notes for Principal and interest; and</w:t>
            </w:r>
          </w:p>
        </w:tc>
        <w:tc>
          <w:tcPr>
            <w:tcW w:w="0" w:type="dxa"/>
            <w:vAlign w:val="bottom"/>
          </w:tcPr>
          <w:p>
            <w:pPr>
              <w:spacing w:after="0"/>
              <w:rPr>
                <w:sz w:val="1"/>
                <w:szCs w:val="1"/>
                <w:color w:val="auto"/>
              </w:rPr>
            </w:pPr>
          </w:p>
        </w:tc>
      </w:tr>
      <w:tr>
        <w:trPr>
          <w:trHeight w:val="198"/>
        </w:trPr>
        <w:tc>
          <w:tcPr>
            <w:tcW w:w="2080" w:type="dxa"/>
            <w:vAlign w:val="bottom"/>
            <w:vMerge w:val="continue"/>
          </w:tcPr>
          <w:p>
            <w:pPr>
              <w:spacing w:after="0"/>
              <w:rPr>
                <w:sz w:val="17"/>
                <w:szCs w:val="17"/>
                <w:color w:val="auto"/>
              </w:rPr>
            </w:pPr>
          </w:p>
        </w:tc>
        <w:tc>
          <w:tcPr>
            <w:tcW w:w="9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Third:</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the Company or to such party as a court of competent jurisdiction shall direct. Until so applied, such payments shall be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held in a separate account, in trust, by the Trustee or invested by the Trustee at the written direction of the Company. At</w:t>
            </w:r>
          </w:p>
        </w:tc>
        <w:tc>
          <w:tcPr>
            <w:tcW w:w="0" w:type="dxa"/>
            <w:vAlign w:val="bottom"/>
          </w:tcPr>
          <w:p>
            <w:pPr>
              <w:spacing w:after="0"/>
              <w:rPr>
                <w:sz w:val="1"/>
                <w:szCs w:val="1"/>
                <w:color w:val="auto"/>
              </w:rPr>
            </w:pPr>
          </w:p>
        </w:tc>
      </w:tr>
      <w:tr>
        <w:trPr>
          <w:trHeight w:val="234"/>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such time as no Notes remain outstanding, any excess money held by the Trustee shall be paid to the Company.</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firstLine="1296"/>
        <w:spacing w:after="0" w:line="260" w:lineRule="auto"/>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Notes pursuant to this Section 6.10. The Trustee shall notify the Company in writing reasonably in advance of any such record date and payment date.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6.11. Undertaking for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 made by the party litigant. This Section 6.11 does not apply to a suit by the Trustee, a suit by a Holder pursuant to Section 6.07 or a suit by Holders of more than 10% in principal amount of the then outstanding Notes.  </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7.01. Duties of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an Event of Default has occurred and is continuing, the Trustee shall exercise such of the rights and powers vested in it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use the same degree of care and skill in their exercise, as a prudent person would exercise or use under the circumstances in the conduct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 own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 during the continuance of an Event of Default known to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and the Agents shall be determined solely by the express provisions of this Indenture and the Trustee and the Agents need perform only those duties that are specifically set forth in this Indenture and no others, and no implied covenants or obligations shall be read into this Indenture against the Trustee or the Agents;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Trustee may not be relieved from liabilities for its own negligent action, its own negligent failure to act, or its own willful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misconduct, except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0" w:hanging="656"/>
        <w:spacing w:after="0" w:line="250" w:lineRule="auto"/>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of the Trustee, unless it is proved that the Trustee was negligent in ascertaining the pertinent facts;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Sections 6.02, 6.04 or 6.05.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Whether or not therein expressly so provided, every provision of this Indenture that in any way relates to the Trustee is subject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(a), (b) and (c) of this Section 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No provision of this Indenture shall require the Trustee to expend or risk its own funds or incur any liability. The Trustee will be under no obligation to perform any duty or exercise any of its rights or powers under this Indenture at the request of the Holders, unless such Holder has offered to the Trustee security and, if requested, the provision of indemnity satisfactory to it against any loss, liability or expense.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Trustee shall not be liable for interest on any money received by it except as the Trustee may agree in writing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Absent written instruction from the Company, the Trustee shall not be required to invest any such money. Money held in trust by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 not be segregated from other funds except to the extent required by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The Trustee shall not be deemed to have notice or any knowledge of any matter (including without limitation Defaults or Events of Default) unless a Responsible Officer of the Trustee assigned to and working in the Trustee’s corporate trust and agency department has actual knowledge thereof or unless written notice thereof is received by the Trustee and such notice clearly references the Notes, the Company or this Indenture.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Whether or not expressly provided in any other provision herein, the rights, privileges, protections, immunities and benefits given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Trustee, including, without limitation, its rights to be indemnified and all other rights provided in Section 7.06, this Section 7.01 and Section 7.02,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to, and shall be enforceable by the Trustee in each of its capacities in which it may serve, and to each Agent and any other person employed to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7.02. Rights of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The Trustee may conclusively rely on any document believed by it to be genuine and to have been signed or presented by the proper person.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make such further inquiry or investigation into such facts or matters as it may see fit.  </w:t>
      </w:r>
    </w:p>
    <w:p>
      <w:pPr>
        <w:spacing w:after="0" w:line="20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Before the Trustee acts or refrains from acting, it may require an Officers’ Certificate or an Opinion of Counsel, or both. The Trustee shall not be liable for any action it takes or omits to take in good faith in reliance on such Officers’ Certificate or Opinion of Counsel.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 Trustee may act through agents and shall not be responsible for the misconduct or negligence of any agent appointed with due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The Trustee shall not be liable for any action it takes or omits to take in good faith which it believes to be authorized or within its rights or powers under this Indenture, unless the Trustee’s conduct constitutes negligence.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Unless otherwise specifically provided in this Indenture, any demand, request, direction or notice from the Company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sufficient if signed by an Officer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Trustee may consult with counsel or other professional advisors of its selection and may rely on the written advice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professional advisor or any Opinion of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Trustee shall not be deemed to have knowledge of any Default or Event of Default unless a Trust Officer of the Trustee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knowledge thereof or unless written notice of any event that is in fact such a default is received by the Trustee at the Corporate Trust Office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and such notice references the Notes and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Except with respect to Sections 4.01, 4.03 and 4.04, the Trustee shall have no duty to inquire as to the performance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with respect to the covenants contained in Article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            Delivery of reports, information and documents to the Trustee under Article 4 (other than the delivery of Officers’ Certificates pursuant to Section 4.04)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The rights, privileges, protections, immunities and benefits given to the Trustee, including its right to be indemnified, are extended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and shall be enforceable by the Trustee in each of its capacities hereunder and by each agent (including the Agents), custodian and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employed to act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The Trustee shall not be responsible or liable for special, indirect, or consequential loss or damage of any kind whatsoever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but not limited to, loss or profit) irrespective of whether the Trustee has been advised of the likelihood of such loss or damage and regardless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 of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The permissive rights of the Trustee to do things enumerated in this Indenture shall not be construed as duties.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(m)            In no event shall the Trustee be responsible or liable for any failure or delay in the performance of its obligations hereunder arising out of or caused by acts of war or terrorism involving the United States or any other national or international calamity or emergency (including natural disasters or acts of God), it being understood that the Trustee shall use reasonable efforts which are consistent with accepted practices in the banking industry to resume performance as soon as practicable under the circumstances.  </w:t>
      </w:r>
    </w:p>
    <w:p>
      <w:pPr>
        <w:spacing w:after="0" w:line="207"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(n)            The Trustee may refrain from taking any action in any jurisdiction if the taking of such action in that jurisdiction would, in its opinion, based upon legal advice in the relevant jurisdiction, be contrary to any law of that jurisdiction or, to the extent applicable, the State of New York.  </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7.03. Individual Rights of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Trustee or Agents in their individual or any other capacity may become the owner or pledgee of Notes and may otherwise deal with the Company or an Affiliate with the same rights it would have if they were not Trustee or Agent. However, in the event that the Trustee or any Agent acquires any conflicting interest it must eliminate such conflict within 90 days or resign.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7.04. Trustee’s Disclaimer.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Trustee will not be responsible and makes no representation as to the validity or adequacy of this Indenture or the Notes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Guarantee), it shall not be accountable for the Company’s use of the proceeds from the Notes or any money paid to the Company or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discretion under any provision of this Indenture, it shall not be responsible for the use or application of any money received by any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other than the Trustee, and it will not be responsible for any statement or recital herein or any statement in the Notes or any other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but not limited to the Offering Memorandum, in connection with the sale of the Notes or pursuant to this Indenture other than its certificate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7.05. Notice of Defaults.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 Default or Event of Default with respect to the Notes occurs and is continuing and if it is known to the Trustee, the Trustee shall 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Holders of Notes a notice of the Default or Event of Default within 60 days after it occurs. Except in the case of a Default or Event of Default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on any such Note, the Trustee may withhold the notice if and so long as a committee of its Trust Officers in good faith determines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the notice is in the interests of such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7.06. Compensation and Indemnity.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or upon the failure of the Company to pay, each Guarantor, jointly and severally, shall pay to the Trustee and the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compensation as shall be agreed upon in writing for its acceptance of this Indenture and services hereunder. The Trustee’s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 not be limited by any law on compensation of a trustee of an express trust. The Company, and each Guarantor, jointly and severally, shall reimburse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or the Agent as the case may be promptly upon written request for all reasonable disbursements, advances and out-of-pocket expenses incurred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it in addition to the compensation for its services. Such expenses shall include reasonable compensation, disbursements and out-of-pocket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of the Agent and Trustee’s agents and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The Company and the Guarantors, jointly and severally, shall indemnify each of the Trustee (including its directors, officers, agents and employees), any predecessor Trustee and the Agents for any and all loss, liability, damage, claims or expenses, including taxes (other than taxes based upon, measured by or determined by the income of the Trustee or the Agents) incurred by them, without negligence, willful misconduct or bad faith on their part, arising out of or in connection with the acceptance or administration of this Indenture and their duties hereunder including the costs and expenses of enforcing this Indenture against the Company and the Guarantors (including this Section 7.06) and defending itself against any claim (whether asserted by the Company, the Guarantors, any Holder or any other Person) or liability in connection with the exercise or performance of any of its powers or duties hereunder. The Trustee or the Agents as the case may be shall notify the Company promptly of any claim for which it may seek indemnity. Failure by the Trustee to so notify the Company will not relieve the Company or any of the Guarantors of their obligations hereunder, except when such failure to notify is prejudicial to the Company or the Guarantors. Except where the interests of the Company and the Guarantors, on the one hand, and the Trustee, on the other hand, may be adverse, the Company or such Guarantor shall defend the claim and the Trustee or Agents shall cooperate in the defense. The Trustee or Agents may have separate counsel and the Company shall pay the properly incurred fees and expenses of such counsel. Each of the Company and any Guarantor need not pay for any settlement made without its consent, which consent will not be unreasonably withheld.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secure the Company’s payment obligations in this Section 7.06, the Trustee shall have a lien prior to the Notes on all money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held or collected by the Trustee in its capacity as Trustee, except money or property held in trust to pay Principal and interest on the Notes.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shall survive the satisfaction and discharge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If the Trustee incurs expenses or renders services after an Event of Default specified in Section 6.01(8) or (9) occurs, the expenses and the compensation for the services shall be intended to constitute expenses of administration under any applicable Bankruptcy Law.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indemnity contained in this Section 7.06 shall survive the termination of this Indenture and shall continue for the benefit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or an Agent notwithstanding its resignation or retirement.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7.07. Replacement of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resignation or removal of the Trustee with respect to the Notes and appointment of a successor Trustee shall become effective only upon the successor Trustee’s acceptance of appointment as provided in this Section 7.07.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Trustee may resign at any time and be discharged from the trust hereby created by 30 days’ notice to the Company in writing. The Holders of a majority in principal amount of the then outstanding Notes may remove the Trustee by so notifying the Trustee in writing and may appoint a successor Trustee with the Company’s consent. The Company may remove the Trustee if:  </w:t>
      </w:r>
    </w:p>
    <w:p>
      <w:pPr>
        <w:spacing w:after="0" w:line="204" w:lineRule="exact"/>
        <w:rPr>
          <w:sz w:val="20"/>
          <w:szCs w:val="20"/>
          <w:color w:val="auto"/>
        </w:rPr>
      </w:pPr>
    </w:p>
    <w:p>
      <w:pPr>
        <w:ind w:left="1960" w:hanging="656"/>
        <w:spacing w:after="0"/>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other public officer takes charge of the Trustee or its property;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Trustee. Within one year after the successor Trustee takes office, the Holders of a majority in principal amount of the then outstanding Notes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 a successor Trustee to replace the successor Trustee appointed by the Company. If a successor Trustee does not take office within 60 days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retiring Trustee resigns or is removed, (i) the retiring Trustee, the Company or the Holders of at least 10% in principal amount of the then outstanding Notes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petition any court of competent jurisdiction for the appointment of a successor Trustee or (ii) the retiring Trustee may appoint a successor Trustee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prior to the date on which a successor Trustee takes office, provided that such appointments shall be reasonably satisfactory to the Company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not to be unreasonably withheld or delayed).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If the Trustee fails to comply with Section 7.09, any Holder of Notes who has been a bona fide Holder of Notes for at least six months may petition any court of competent jurisdiction for the removal of the Trustee and the appointment of a successor Trustee.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shall promptly transfer all property held by it as Trustee to the successor Trustee (subject to the lien provided for in Section 7.06), the resignation or removal of the retiring Trustee shall become effective, and the successor Trustee shall have all the rights, powers and duties of the Trustee under this Indenture. The successor Trustee shall mail a notice of its succession to the Holders of Notes.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replacement of the Trustee pursuant to this Section 7.07, the Company’s obligations under Section 7.06 shall continue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benefit of the retiring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7.08. Successor Trustee by Merger, 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shall be the successor Trustee.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7.09. Eligibility; Disqualification.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is a corporation which is generally recognized as a corporation which customarily performs such corporate trustee roles and provides such corporate trustee services in transactions similar in nature to the offering of the Notes as described in the Offering Memorandum.  </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8.01. Satisfaction and Discharge of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This Indenture shall be discharged and will cease to be of further effect as to the Notes (except as to any surviving rights of registration of transfer or exchange of Notes herein expressly provided for), and the Trustee, at the expense of the Company, shall execute proper instruments acknowledging satisfaction and discharge of this Indenture with respect to the Notes; when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hanging="648"/>
        <w:spacing w:after="0" w:line="250" w:lineRule="auto"/>
        <w:tabs>
          <w:tab w:leader="none" w:pos="2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hanging="648"/>
        <w:spacing w:after="0" w:line="250" w:lineRule="auto"/>
        <w:tabs>
          <w:tab w:leader="none" w:pos="2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not been delivered to the Trustee for cancellation have become due and payable by reason of the making of a notice of redemption or otherwise, or will become due and payable within one year or are to be called for redemption within one year under arrangements satisfactory to the Trustee for the giving of a notice of redemption by the Trustee in the name, and at the expense, of the Company, and the Company or any Guarantor has irrevocably deposited or caused to be deposited with the Trustee (or such other entity designated by the Trustee for this purpose) as trust funds in trust solely for the benefit of the Holders of the Notes,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if any, and accrued interest to, but not including, the date of Maturity or redemption;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or any Guarantor has paid or caused to be paid all sums payable by it under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Company has delivered irrevocable instructions to the Trustee under this Indenture to apply the deposited money toward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Notes at Maturity or the redemption date, as applicable;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(d)            the Company has delivered to the Trustee an Officers’ Certificate and an Opinion of Counsel, each stating that all conditions precedent in this Indenture relating to the satisfaction and discharge of this Indenture have been complied with.  </w:t>
      </w:r>
    </w:p>
    <w:p>
      <w:pPr>
        <w:spacing w:after="0" w:line="200"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7.06, and, if money shall have been deposited with the Trustee pursuant to clause (a)(ii) of this Section 8.01 or if money or obligations shall have been deposited with or received by the Trustee pursuant to Section 8.03 or 8.04, the obligations of the Trustee under Sections 8.02 and 8.05 shall survive.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8.02. Application of Trust Funds; Indemnification.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(a)            Subject to the provisions of Section 8.05, all money and Government Securities deposited with the Trustee pursuant to Section 8.01, all money and Government Securities deposited with the Trustee pursuant to Sections 8.03 or 8.04 and all money received by the Trustee in respect of Government Securities deposited with the Trustee pursuant to Sections 8.01, 8.03 or 8.04,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8.03 and 8.04.  </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shall pay and shall indemnify the Trustee against any tax, fee or other charge imposed on or assessed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deposited pursuant to Sections 8.01, 8.03 or 8.04 or the interest and principal received in respect of such obligations other than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by or on behalf of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 Trustee shall deliver or pay to the Company from time to time upon the request of the Company any Government Securities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held by it as provided in Sections 8.03 or 8.04 that, in the opinion of a nationally recognized firm of independent 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a written certification thereof delivered to the Trustee, are then in excess of the amount thereof which then would have been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deposited for the purpose for which such Government Securities or money were deposited or received. This provision shall not authorize the sale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of any Government Securities held under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8.03. Legal Defeasance of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shall be deemed to have paid and discharged the entire indebtedness on all the outstanding Notes on the date of the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subparagraph (1) of the proviso hereof, the provisions of this Indenture, as it relates to such outstanding Notes, shall no longer be in effect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Guarantees of such Notes shall terminate (and the Trustee, at the expense of the Company, shall, upon the Company’s request, execute proper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acknowledging the same), except as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(a)            the rights of Holders of outstanding Notes to receive, from the trust funds described in subparagraph (1) of the proviso hereof, payment of the Principal of or interest on the outstanding Notes at Maturity thereof in accordance with the terms of this Indenture and the Notes;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Company’s obligations under Sections 2.03, 2.06, 2.07, 2.09 and 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            the rights, powers, trust and immunities of the Trustee hereunder and the duties of the Trustee under Section 8.02 and the duty of the Trustee to authenticate Notes issued on registration of transfer of exchange and the Company’s and the Guarantors’ obligations in connection therewith; and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provisions of this Section 8.03;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following conditions shall have been 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            the Company shall have deposited or caused to be deposited irrevocably with the Trustee (or such other entity designated by the Trustee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purpose), as trust funds in trust for the benefit of the Holders of the Notes, cash in U.S. dollars, non-callable Government Securities or a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in such amounts as will be sufficient, as confirmed, certified or attested to by a firm of independent public accountants expressed in a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thereof delivered to the Trustee, to pay and discharge the Principal of and interest on all outstanding Notes on the Stated Maturity or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redemption date, as the case may be, and the Company must specify whether the Notes are being defeased to Stated Maturity or to a particular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(2)            the Company shall have delivered to the Trustee an Opinion of Counsel reasonably acceptable to the Trustee confirming that (a) the Company has received from, or there has been published by, the U.S. Internal Revenue Service a ruling, or (b) since the Issue Date, there has been a change in the applicable U.S. federal income tax law, in either case to the effect that, and based thereon such Opinion of Counsel shall confirm that, the beneficial owners of the outstanding Notes shall not recognize income, gain or loss for U.S. federal income tax purposes as a result of such deposit, defeasance and discharge and shall be subject to U.S. federal income tax on the same amounts, in the same manner and at the same times as would have been the case if such deposit, defeasance and discharge under this Section 8.03 had not occurred;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no Default or Event of Default shall have occurred and be continuing on the date of such deposit (other than a Default or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the borrowing of funds to be applied to such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            such defeasance pursuant to this Section 8.03 shall not result in a breach or violation of, or constitute a default under any material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instrument to which OI Group or the Company or any of their Restricted Subsidiaries are a party or by which OI Group or the Company or any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Subsidiaries are bound;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the Company shall have delivered to the Trustee an Opinion of Counsel to the effect that, as of the date of such opinion,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the trust funds shall not be subject to the effect of any applicable bankruptcy, insolvency, reorganization or similar laws affecting creditors’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the Company shall have delivered to the Trustee an Officers’ Certificate stating that the deposit was not made by the Company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 of preferring the Holders of the Notes over the other creditors of the Company with the intent of defeating, hindering, delaying or defrauding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creditors of the Company or others;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(7)            the Company shall have delivered to the Trustee an Officers’ Certificate and an Opinion of Counsel, each stating that all conditions precedent herein provided for relating to the defeasance contemplated by this Section 8.03 have been complied with.  </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8.04. Covenant Defeasance.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On and after the date of the deposit referred to in subparagraph (1) of the proviso hereof, (a) the Company may omit to comply with any term, provision or condition set forth under Sections 4.03, 4.04, 4.05, 4.06, 4.08, 4.09, 4.10, 4.11 and 5.01 (and the failure to comply with any such provisions shall not constitute a Default or Event of Default under Section 6.01), with respect to the Notes, and (b) an Event of Default specified in Sections 6.01(3), 6.01(4) (only with respect to covenants that are released as a result of such covenant defeasance pursuant to this Section 8.04), 6.01(5) and 6.01(6), in each case, shall not constitute an Event of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the case of (a) and (b), that the following conditions shall have been satisfied: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            the Company shall have deposited or caused to be deposited irrevocably with the Trustee (or such other entity designated by the Trustee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purpose), as trust funds in trust for the benefit of the Holders of the Notes, cash in U.S. dollars, non-callable Government Securities or a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in such amounts as will be sufficient, as confirmed, certified or attested to by a firm of independent public accountants expressed in a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thereof delivered to the Trustee, to pay and discharge the Principal of and interest on all outstanding Notes on the Stated Maturity or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redemption date, as the case may be, and the Company must specify whether the Notes are being defeased to Stated Maturity or to a particular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            the Company shall have delivered to the Trustee an Opinion of Counsel reasonably acceptable to the Trustee confirming that the beneficial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 of the outstanding Notes shall not recognize income, gain or loss for U.S. federal income tax purposes as a result of such deposit and defeasance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be subject to U.S. federal income tax on the same amounts, in the same manner and at the same times as would have been the case if such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defeasance under this Section 8.04 had not occurred;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no Default or Event of Default shall have occurred and be continuing on the date of such deposit (other than a Default or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the borrowing of funds to be applied to such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(4)            such defeasance pursuant to this Section 8.04 shall not result in a breach or violation of, or constitute a default under any material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instrument to which OI Group or the Company or any of their Restricted Subsidiaries are a party or by which OI Group or the Company or any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Subsidiaries are bound;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the Company shall have delivered to the Trustee an Opinion of Counsel to the effect that, as of the date of such opinion,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the trust funds shall not be subject to the effect of any applicable bankruptcy, insolvency, reorganization or similar laws affecting creditors’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the Company shall have delivered to the Trustee an Officers’ Certificate stating that the deposit was not made by the Company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 of preferring the Holders of the Notes over the other creditors of the Company with the intent of defeating, hindering, delaying or defrauding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creditors of the Company or others;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(7)            the Company shall have delivered to the Trustee an Officers’ Certificate and an Opinion of Counsel, each stating that all conditions precedent herein provided for relating to the defeasance contemplated by this Section 8.04 have been complied with.  </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8.05. Repayment to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Trustee and the Paying Agent shall pay to the Company upon the Company’s request any money held by them for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or interest that remains unclaimed for two years after the date upon which such payment shall have become due. After payment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entitled to the money must look to the Company for payment as general creditors unless an applicable abandoned property law designates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SUPPLEMENTS, AMENDMENTS AND WAIVERS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9.01. Without Consent of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the Guarantors and the Trustee may supplement or amend this Indenture, the Notes or the Guarantees of the Notes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consent of any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line="250"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uncertificated Notes are issued in registered form for purposes of Section 163(f) of the Internal Revenue Code of 1986, as amended);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line="250"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or any Guarantor’s obligations to Holders of Notes in the case of a merger or consolidation or sale of all or substantially all of the Company’s or such Guarantor’s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Notes or that does not adversely affect the legal rights under this Indenture or the Guarantees of the Notes of any such Holder (including, but not limited to, adding a Guarantor under this Indenture or securing the Notes);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Notes, the Guarantees or this Indenture to any provision of the “Description of Notes” section of the Offering Memorandum to the extent that such provision in such “Description of Notes” section was intended to be a verbatim recitation of a provision of the Notes, the Guarantees or this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9.02. With Consent of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Subject to Sections 6.04 and 6.07, the Company, the Guarantors and the Trustee, as applicable, may amend or supplement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or the Guarantees of the Notes, with the consent of the Holders of at least a majority in principal amount of the then outstanding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consents obtained in connection with a purchase of, or tender offer or exchange offer for, Notes) and the Holders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in principal amount of the then outstanding Notes may also waive any existing Default or compliance with any provision of this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or the Guarantees of the Notes (including, without limitation, consents obtained in connection with a purchase of, or tender offer or exchange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without the consent of each Holder affected, an amendment, waiver or other modification may not (with respect to any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a non-consenting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reduce the principal of or change the fixed maturity of any Note or (ii) reduce the premium payable upon the redemption of the Notes or change the time at which any Note may be redeemed (other than notice provisions) or (iii) reduce the premium payable upon repurchase of the Notes or change the time at which any Note is to be repurchased (other than notice provisions) as described under Section 4.08 at any time after a Change of Control has occurred;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hanging="644"/>
        <w:spacing w:after="0" w:line="250"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interest or premium, if any, on any Note (except a rescission of acceleration of such Note by the Holders of at least a majority in aggregate principal amount of the Notes and a waiver of the payment default that resulted from such acceleration);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U.S. dollars (including defaulted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line="250"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OI Group or any Guarantor that is a Significant Subsidiary from any of its obligations under its Guarantee or this Indenture, except in accordance with the terms of the Guarantee or this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20" w:hanging="644"/>
        <w:spacing w:after="0" w:line="250"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change any provision of this Indenture affecting the ranking of the Notes or the Guarantees of the Notes in a manner adverse to the Holders of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line="250"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contractual right expressly set forth in this Indenture or the Notes of any Holder to institute suit for the enforcement of any payment, including premium, if any, on or with respect to the Notes or the Guarantees of the Notes;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this Section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9.02 to approve the particular form of any proposed amendment or waiver, but it shall be sufficient if such consent approves the substance thereof.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After any amendment under this Indenture becomes effective, the Company shall provide to the Holders a notice briefly describing any such amendment. Any failure of the Company to provide such notice, or any defect therein, shall not, however, in any way impair or affect the validity of any such supplemental indenture or waiver. The Company shall provide supplemental indentures to Holders upon request.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9.03. Revocation and Effect of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Until an amendment or waiver becomes effective, a consent to it by a Holder of a Note is a continuing consent by the Holder and every subsequent Holder of a Note or portion of a Note that evidences the same debt as the consenting Holder’s Note, even if notation of the consent is not made on any Note;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unless a record date shall have been established pursuant to Section 2.12(a), any such Holder or subsequent Holder may revoke the consent as to his Note or portion of a Note if the Trustee receives the notice of revocation before the date on which the amendment or waiver becomes effective. An amendment or waiver shall become effective on receipt by the Trustee of consents from the Holders of the requisite percentage principal amount of the outstanding Notes, and thereafter shall bind every Holder of Notes.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9.04. Notation on or Exchange of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If an amendment or waiver changes the terms of a Note: (a) the Trustee may require the Holder of the Note to deliver it to the Trustee, the Trustee may, at the written direction of the Company and at the Company’s expense, place an appropriate notation on the Note about the changed terms and return it to the Holder and the Trustee may place an appropriate notation on any Note thereafter authenticated; or (b) if the Company or the Trustee so determines, the Company in exchange for the Note shall issue and the Trustee shall authenticate a new Note that reflects the changed terms.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9.05. Trustee/Agents to Sign Amendments, 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Trustee shall receive an Officers’ Certificate and an Opinion of Counsel stating that the execution of any amendment or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pursuant to this Article is authorized or permitted by this Indenture. Subject to the preceding sentence, the Trustee shall sign such amendment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The Trustee and any Agent may, but shall not be obligated to, execute any such amendment, supplement or waiver that affects the Trustee’s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Agent’s own rights, duties, liabilities or immunities under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10.01.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Subject to the provisions of this Article 10, the Guarantors hereby, jointly and severally, unconditionally and irrevocably, guarantee to each Holder and to the Trustee and its successors and assigns (a) the due and punctual payment of Principal of and interest on the Notes whether at Stated Maturity, by acceleration, by redemption or otherwise, and all other monetary obligations of the Company under this Indenture (including obligations to the Trustee and any Agent) with respect to the Notes and (b) the due and punctual performance within applicable grace periods of all other obligations of the Company under this Indenture with respect to the Notes (all the foregoing being hereinafter collectively called the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The Guarantors further agree that the Obligations may be extended or renewed, in whole or in part, without notice or further assent from the Guarantors, and that the Guarantors will remain bound under this Article 10 notwithstanding any extension or renewal of any Obligation.  </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Guarantors waive presentation to, demand of, payment from and protest to the Company of any of the Obligations and also waive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protest for non-payment. The Guarantors waive notice of any default under the Notes to which this Article 10 is applicable or the Obligations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thereto. The obligations of the Guarantors under this Section 10.01 shall not be affected by (a) the failure of any Holder or the Trustee to assert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or demand or to enforce any right or remedy against the Company or any other Person under this Indenture, the Notes or any other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 any extension or renewal of any Obligation; (c) any rescission, waiver, amendment, modification or supplement of any of the terms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this Indenture (other than this Article 10), the Notes or any other agreement, unless such rescission, waiver, amendment, modification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expressly affects the obligations of any Guarantor under this Section 10.01; (d) the release of any security held by any Holder or the Trustee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or any of them; (e) the failure of any Holder or Trustee to exercise any right or remedy against any other guarantor of the Obligations;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any change in the ownership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Guarantors further agree that their Guarantees herein constitute a guarantee of payment, performance and compliance when due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 guarantee of collection) and waive any right to require that any resort be had by any Holder or the Trustee to any security held for payment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Except as set forth in this Indenture, the obligations of the Guarantors hereunder shall not be subject to any reduction, limitation, impairment or termination for any reason, including any claim of waiver, release, surrender, alteration or compromise, and shall not be subject to any defense, setoff, counterclaim, recoupment or termination whatsoever or by reason of the invalidity, illegality or unenforceability of the Obligations or otherwise. Without limiting the generality of the foregoing, except as set forth in this Indenture, the obligations of the Guarantors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with respect to the Notes, or by any other act or thing or omission or delay to do any other act or thing which may or might in any manner or to any extent vary the risk of the Guarantors or would otherwise operate as a discharge of the Guarantors as a matter of law or equity.  </w:t>
      </w:r>
    </w:p>
    <w:p>
      <w:pPr>
        <w:spacing w:after="0" w:line="21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Guarantors further agree that their Guarantees herein shall continue to be effective or be reinstated, as the case may be, if at any time payment, or any part thereof, of any Obligation with respect to the Notes is rescinded or must otherwise be restored by any Holder or the Trustee upon the bankruptcy or reorganization of the Company or otherwise, unless such Guarantee has been released in accordance with Section 10.10.  </w:t>
      </w:r>
    </w:p>
    <w:p>
      <w:pPr>
        <w:spacing w:after="0" w:line="204"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In furtherance of the foregoing and not in limitation of any other right which any Holder or the Trustee has or may have at law or in equity against the Guarantors by virtue hereof, upon the failure of the Company to pay any Obligation with respect to the Notes when and as the same shall become due, whether at Stated Maturity, by acceleration, by redemption or otherwise, or to perform or comply with any other Obligation with respect to the Notes, the Guarantors hereby promise to and will, upon receipt of written demand by the Trustee, forthwith pay, or cause to be paid, in cash, to the Holders or the Trustee an amount equal to the sum of (i) the unpaid Principal amount of such Obligations, (ii) accrued and unpaid interest on such Obligations (but only to the extent not prohibited by law) and (iii) all other monetary Obligations of the Company to the Holders of the Notes and the Trustee.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Guarantors agree that, as between the Guarantors, on the one hand, and the Holders and the Trustee, on the other hand, (x)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of the Obligations guaranteed hereby may be accelerated as provided in Article 6 for the purposes of the Guarantee herein, notwithstanding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stay, injunction or other prohibition preventing such acceleration in respect of the Obligations guaranteed hereby, and (y) in the event of any declaration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of such Obligations as provided in Article 6, such Obligations (whether or not due and payable) shall forthwith become due and payable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for the purposes of this Section 10.01.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Guarantors also agree to pay any and all costs and expenses (including reasonable attorneys’ fees and expenses) incurred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or any Holder in enforcing any rights under this Section 10.01.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10.02. Limitation on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Any term or provision of this Indenture to the contrary notwithstanding, the obligations of each Guarantor are limited to the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as will result in the Obligations of such Guarantor under the Guarantee not constituting a fraudulent conveyance or fraudulent transfer under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state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10.03. Execution and Delivery of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evidence its Guarantee set forth in Section 10.01, each Guarantor hereby agrees that a notation of such Guarantee substantially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form included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shall be endorsed by an Officer of such Guarantor on each Note authenticated and delivered by the Trustee to which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10 is applicable and that this Indenture shall be executed on behalf of such Guarantor by its or its sole member’s President, any Senior 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General Counsel, any Vice President, Secretary or Assistant Secretary. Further, the Company shall cause all future Guarantors to execute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Each Guarantor hereby agrees that its Guarantee set forth in Section 10.01 shall remain in full force and effect notwithstanding any failure to endorse on each Note to which this Article 10 is applicable a notation of such Guarantee.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If an Officer whose signature is on this Indenture or on the Guarantee no longer holds that office at the time the Trustee authenticates the Note on which a Guarantee is endorsed, the Guarantee shall be valid nevertheless.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The delivery of any Note to which this Article 10 is applicable by the Trustee, after the authentication thereof hereunder, shall constitute due delivery of the Guarantee set forth in this Indenture on behalf of the Guarantors.  </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10.04.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This Article 10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10.05. No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Neither a failure nor a delay on the part of either the Trustee or the Holders in exercising any right, power or privilege under this Article 10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10 at law, in equity, by statute or otherwise.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10.06. Right of Contribution.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Each Guarantor hereby agrees that to the extent that a Guarantor shall have paid more than its proportionate share of any payment made hereunder, such Guarantor shall be entitled to seek and receive contribution from and against any other Guarantor hereunder who has not paid its proportionate share of such payment. Each Guarantor’s right of contribution shall be subject to the terms and conditions of Section 10.07. The provisions of this Section 10.06 shall in no respect limit the obligations and liabilities of any Guarantor to the Trustee and the Holders and each Guarantor shall remain liable to the Trustee and the Holders for the full amount guaranteed by such Guarantor hereunder.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10.07. No Subrogation.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Notwithstanding any payment or payments made by any of the Guarantors hereunder, no Guarantor shall be entitled to be subrogated to any of the rights of the Trustee or any Holder against the Company or any other Guarantor or any collateral security or guarantee or right of offset held by the Trustee or any Holder for the payment of the Obligations, nor shall any Guarantor seek or be entitled to seek any contribution or reimbursement from the Company or any other Guarantor in respect of payments made by such Guarantor hereunder, until all amounts owing to the Trustee and the Holders by the Company on account of the Obligations are paid in full. If any amount shall be paid to any Guarantor on account of such subrogation rights at any time when all of the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Obligations.  </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10.08. Additional Guarantors; Reinstatement of Guarantees.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OI Group shall cause each Domestic Subsidiary of OI Group (other than the Company) or any of its Restricted Subsidiaries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Indebtedness under the Credit Agreement, including the reinstatement or renewal of a Guarantee of Indebtedness under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released under the Credit Agreement, to execute and deliver a supplement to this Indenture providing that such Domestic Subsidiary will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hereunder and deliver an Opinion of Counsel and Officers’ Certificate to the Trustee within 30 days of the date on which it executes a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Credit Agreement. Domestic Subsidiaries that are Guarantors on the date any such supplement is executed by an additional Domestic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required to become parties to such supplement and hereby agree to the execution and delivery by any additional Domestic Subsidiary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10.09. Modification.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No modification, amendment or waiver of any provision of this Article 10, nor the consent to any departure by the Guarantors therefrom, shall in any event be effective unless the same shall be in writing and signed by the Trustee, and then such waiver or consent shall be effective only in the specific instance and for the purpose for which given; it being understood that the release of the Guarantees of Guarantors pursuant to Section 10.10 shall not be an amendment or waiver of any provision of this Article 10 and shall not require any action on the part of the Trustee. No notice to or demand on the Guarantors in any case shall entitle the Guarantors to any other or further notice or demand in the same, similar or other circumstances.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10.10. Release of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 Guarantor shall be automatically released without any action on the part of the Trustee or the Holders from its obligations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and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transfer or other disposition of all or substantially all of the assets of that Guarantor (including by way of merger or consolidation) to a Person that is not (either before or after giving effect to such transaction) OI Group or a Restricted Subsidiary of OI Group;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transfer or other disposition of all of the Capital Stock of a Guarantor to a Person that is not (either before or after giving effect to such transaction) OI Group or a Restricted Subsidiary of OI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shall receive written notice of the release of any Guarantor if such release is effected and, at the written direction of the Company,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execute an appropriate instrument evidencing such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Upon the release of a guarantee by a Domestic Subsidiary under the Credit Agreement, the Guarantee of such Domestic Subsidiary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Indenture shall be released and discharged at such time and, at the direction of the Company, the Trustee shall, subject to the terms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 an appropriate instrument evidencing such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Upon the release and discharge from a Guarantor’s liability with respect to the Indebtedness giving rise to the requirement to provide a Guarantee pursuant to Section 4.11 of this Indenture, the Guarantee of such Guarantor under this Indenture shall be released and discharged at such time,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 Domestic Subsidiary only, such Domestic Subsidiary does not then guarantee the Credit Agreement, and, at the direction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the Trustee shall execute an appropriate instrument evidencing such release.  </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Upon defeasance or discharge of the Notes, as provided under Section 8.01 or Section 8.03, the Guarantee of such Guarantor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shall be released and discharged at such time and, at the direction of the Company, the Trustee shall, subject to the terms of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 an appropriate instrument evidencing such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(e)            If any such Domestic Subsidiary thereafter guarantees obligations under the Credit Agreement (or such released guarantee under the Credit Agreement is reinstated or renewed), then such Domestic Subsidiary will Guarantee the Notes in accordance with this Article 10.  </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11.01.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11.02. Notices.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Any notice or communication by the Company, any Guarantor or the Trustee to the others is duly given if in writing in the English language (or, if not in the English language, accompanied by a certified translation into English) and delivered in person or sent by first-class mail, facsimile transmission or overnight air courier guaranteeing next-day delivery, addressed as follows: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Owens-Brockway Glass Container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Michael Owens Way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Perrysburg, OH 43551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Treasurer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Owens-Illinois Group,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Michael Owens Way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Perrysburg, OH 43551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Darrow Abrahams,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(567) 336-5000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Regions Bank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Corporate Trust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51 W Bay Street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2nd Floor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Jacksonville, FL 32202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Phone: 904.998.4995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Craig A. Kaye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shall be deemed to have been duly given: at the time delivered by hand, if personally delivered; five Business Days after being deposited in the mail, postage prepaid, if mailed; when receipt acknowledged, if transmitted by facsimile; and the next Business Day after timely delivery to the courier, if sent by overnight air courier guaranteeing next-day delivery.  </w:t>
      </w:r>
    </w:p>
    <w:p>
      <w:pPr>
        <w:spacing w:after="0" w:line="204"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this Indenture, any notice or communication to a Holder shall be mailed by first-class mail or facsimile transmission or overnight courier to his address shown on the register kept by the Registrar. Failure to mail (or cause to be delivered) a notice or communication to a Holder or any defect in it shall not affect its sufficiency with respect to other Holders. If the Company mails (or causes to be delivered) a notice or communication to Holders, it shall mail (or cause to be delivered) a copy to the Trustee at the same time.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 notice or communication is mailed or delivered in the manner provided above within the time prescribed, it is duly given, whether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the addressee receives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11.03.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11.04. Certificate and Opinion as to 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or an Agent, as applicable, to take any action under this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furnish to the Trustee or such Agent (it being understood that no Officers’ Certificate or Opinion of Counsel shall be required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issuance of any Notes as of the Issue Date),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 Officers’ Certificate stating that, in the opinion of the signers, all conditions precedent, if any, provided for in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proposed action have been complied with;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 Opinion of Counsel stating that, in the opinion of such counsel, all such conditions precedent have been complied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11.05. Statements Required in Certificate or Opinion.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provided for in Section 4.04) shall include: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right="20" w:hanging="656"/>
        <w:spacing w:after="0" w:line="250" w:lineRule="auto"/>
        <w:tabs>
          <w:tab w:leader="none" w:pos="1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hanging="656"/>
        <w:spacing w:after="0" w:line="250" w:lineRule="auto"/>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as to whether or not, in the opinion of such Person, such condition or covenant has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matters of fact an Opinion of Counsel may rely on an officer’s certificate or certificates of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officials.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11.06. Rules by Trustee and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The Trustee as to Notes may make reasonable rules for action by or at a meeting of Holders of Notes. The Registrar and any Paying Agent or Authenticating Agent may make reasonable rules and set reasonable requirements for their functions.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11.07. Legal Holidays.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xml:space="preserve"> is a Saturday, a Sunday or a day on which banking institutions in New York City, New York, are not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If a payment date is a Legal Holiday at a place of payment, payment may be made at that place on the next succeeding day that is not a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Holiday, and no interest shall accrue for the intervening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11.08. No Recourse Against Others.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past, present or future director, officer, employee, incorporator or stockholder, as such, of the Company or any Guarantor, if any, or any successor corporation shall not have any liability for any obligations of the Company or any Guarantor, if any, under the Notes, this Indenture or the Guarantees of the Notes, if any, or for any claim based on, in respect of, or by reason of such obligations or their creation. Each Holder by accepting a Note waives and releases all such liability. The waiver and release are part of the consideration of issuance of the Notes.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11.09. Counterparts.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Indenture may be executed by the parties hereto in separate counterparts, each of which when so executed shall be deemed to be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and all of which taken together shall constitute one and the same agreement. The words “execution,” “signed,” “signature,” “delivery,” and words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like import in or relating to this Indenture or any document to be signed in connection with this Indenture shall be deemed to include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deliveries or the keeping of records in electronic form, each of which shall be of the same legal effect, validity or enforceability as a manually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signature, physical delivery thereof or the use of a paper-based recordkeeping system, as the case may be, and the parties hereto consent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the transactions contemplated hereunder by electronic means.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11.10. Governing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Indenture, the Notes and the Guarantees of the Notes shall be governed by and construed in accordance with the laws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11.11.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11.12. Severability.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In case any provision in this Indenture or in the Notes shall be invalid, illegal or unenforceable, the validity, legality and enforceability of the remaining provisions shall not in any way be affected or impaired thereby.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11.13. Effect of Headings, Table of Contents, 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Article and Section headings herein and the table of contents are for convenience only and shall not affect the construction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11.14.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covenants and agreements of the Company in this Indenture and the Notes shall bind its successors and assigns. All agreements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in this Indenture shall bind its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11.15. No Interpretation of Other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any Subsidiary.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loan or debt agreement may not be used to interpret this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11.16. Patriot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order to comply with the laws, rules, regulations and executive orders in effect from time to time applicable to banking institutions,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those relating to the funding of terrorist activities and money laundering, including Section 326 of the USA PATRIOT 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w:t>
      </w:r>
      <w:r>
        <w:rPr>
          <w:rFonts w:ascii="Times New Roman" w:cs="Times New Roman" w:eastAsia="Times New Roman" w:hAnsi="Times New Roman"/>
          <w:sz w:val="18"/>
          <w:szCs w:val="18"/>
          <w:i w:val="1"/>
          <w:iCs w:val="1"/>
          <w:color w:val="auto"/>
        </w:rPr>
        <w:t>Applicable AML Law</w:t>
      </w:r>
      <w:r>
        <w:rPr>
          <w:rFonts w:ascii="Times New Roman" w:cs="Times New Roman" w:eastAsia="Times New Roman" w:hAnsi="Times New Roman"/>
          <w:sz w:val="18"/>
          <w:szCs w:val="18"/>
          <w:color w:val="auto"/>
        </w:rPr>
        <w:t>”), the Trustee and Agents are required to obtain, verify, record and update certain information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and entities which maintain a business relationship with the Trustee and Agents. Accordingly, each of the parties agree to provide to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Agents, upon their request from time to time such identifying information and documentation as may be available for such party in order to enable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and Agents to comply with Applicable AML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6"/>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and all as of the date first above written.</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5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6"/>
          </w:tcPr>
          <w:p>
            <w:pPr>
              <w:ind w:left="4920"/>
              <w:spacing w:after="0"/>
              <w:rPr>
                <w:sz w:val="20"/>
                <w:szCs w:val="20"/>
                <w:color w:val="auto"/>
              </w:rPr>
            </w:pPr>
            <w:r>
              <w:rPr>
                <w:rFonts w:ascii="Times New Roman" w:cs="Times New Roman" w:eastAsia="Times New Roman" w:hAnsi="Times New Roman"/>
                <w:sz w:val="18"/>
                <w:szCs w:val="18"/>
                <w:color w:val="auto"/>
              </w:rPr>
              <w:t>OWENS-BROCKWAY GLASS CONTAINER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 Catalina Sierra</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6"/>
          </w:tcPr>
          <w:p>
            <w:pPr>
              <w:ind w:left="4920"/>
              <w:spacing w:after="0" w:line="191" w:lineRule="exact"/>
              <w:rPr>
                <w:sz w:val="20"/>
                <w:szCs w:val="20"/>
                <w:color w:val="auto"/>
              </w:rPr>
            </w:pPr>
            <w:r>
              <w:rPr>
                <w:rFonts w:ascii="Times New Roman" w:cs="Times New Roman" w:eastAsia="Times New Roman" w:hAnsi="Times New Roman"/>
                <w:sz w:val="18"/>
                <w:szCs w:val="18"/>
                <w:color w:val="auto"/>
              </w:rPr>
              <w:t>Name:Catalina Sierra</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6"/>
          </w:tcPr>
          <w:p>
            <w:pPr>
              <w:ind w:left="4920"/>
              <w:spacing w:after="0"/>
              <w:rPr>
                <w:sz w:val="20"/>
                <w:szCs w:val="20"/>
                <w:color w:val="auto"/>
              </w:rPr>
            </w:pPr>
            <w:r>
              <w:rPr>
                <w:rFonts w:ascii="Times New Roman" w:cs="Times New Roman" w:eastAsia="Times New Roman" w:hAnsi="Times New Roman"/>
                <w:sz w:val="18"/>
                <w:szCs w:val="18"/>
                <w:color w:val="auto"/>
              </w:rPr>
              <w:t>Title: Vice President, Treasurer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0" w:type="dxa"/>
            <w:vAlign w:val="bottom"/>
          </w:tcPr>
          <w:p>
            <w:pPr>
              <w:spacing w:after="0"/>
              <w:rPr>
                <w:sz w:val="16"/>
                <w:szCs w:val="16"/>
                <w:color w:val="auto"/>
              </w:rPr>
            </w:pPr>
          </w:p>
        </w:tc>
        <w:tc>
          <w:tcPr>
            <w:tcW w:w="10560" w:type="dxa"/>
            <w:vAlign w:val="bottom"/>
            <w:gridSpan w:val="6"/>
          </w:tcPr>
          <w:p>
            <w:pPr>
              <w:ind w:left="4920"/>
              <w:spacing w:after="0" w:line="194" w:lineRule="exact"/>
              <w:rPr>
                <w:sz w:val="20"/>
                <w:szCs w:val="20"/>
                <w:color w:val="auto"/>
              </w:rPr>
            </w:pPr>
            <w:r>
              <w:rPr>
                <w:rFonts w:ascii="Times New Roman" w:cs="Times New Roman" w:eastAsia="Times New Roman" w:hAnsi="Times New Roman"/>
                <w:sz w:val="18"/>
                <w:szCs w:val="18"/>
                <w:color w:val="auto"/>
              </w:rPr>
              <w:t>On behalf of each entity named on the attached Annex A, in the capacity set</w:t>
            </w:r>
          </w:p>
        </w:tc>
        <w:tc>
          <w:tcPr>
            <w:tcW w:w="0" w:type="dxa"/>
            <w:vAlign w:val="bottom"/>
          </w:tcPr>
          <w:p>
            <w:pPr>
              <w:spacing w:after="0"/>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460" w:type="dxa"/>
            <w:vAlign w:val="bottom"/>
            <w:gridSpan w:val="4"/>
          </w:tcPr>
          <w:p>
            <w:pPr>
              <w:ind w:left="4920"/>
              <w:spacing w:after="0" w:line="196" w:lineRule="exact"/>
              <w:rPr>
                <w:sz w:val="20"/>
                <w:szCs w:val="20"/>
                <w:color w:val="auto"/>
              </w:rPr>
            </w:pPr>
            <w:r>
              <w:rPr>
                <w:rFonts w:ascii="Times New Roman" w:cs="Times New Roman" w:eastAsia="Times New Roman" w:hAnsi="Times New Roman"/>
                <w:sz w:val="18"/>
                <w:szCs w:val="18"/>
                <w:color w:val="auto"/>
              </w:rPr>
              <w:t>forth for such entity on such Annex A</w:t>
            </w:r>
          </w:p>
        </w:tc>
        <w:tc>
          <w:tcPr>
            <w:tcW w:w="660" w:type="dxa"/>
            <w:vAlign w:val="bottom"/>
            <w:tcBorders>
              <w:top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 John A. Haudrich</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400" w:type="dxa"/>
            <w:vAlign w:val="bottom"/>
          </w:tcPr>
          <w:p>
            <w:pPr>
              <w:ind w:left="49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Name: John A. Haudrich</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6"/>
            <w:vMerge w:val="restart"/>
          </w:tcPr>
          <w:p>
            <w:pPr>
              <w:ind w:left="3980"/>
              <w:spacing w:after="0"/>
              <w:rPr>
                <w:sz w:val="20"/>
                <w:szCs w:val="20"/>
                <w:color w:val="auto"/>
              </w:rPr>
            </w:pPr>
            <w:r>
              <w:rPr>
                <w:rFonts w:ascii="Times New Roman" w:cs="Times New Roman" w:eastAsia="Times New Roman" w:hAnsi="Times New Roman"/>
                <w:sz w:val="18"/>
                <w:szCs w:val="18"/>
                <w:color w:val="auto"/>
              </w:rPr>
              <w:t>[Indenture Signature Page]</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REGIONS BANK, as Trustee</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Kristine Prall</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Kristine Prall</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[Indenture Signature Page]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680" w:type="dxa"/>
            <w:vAlign w:val="bottom"/>
            <w:vMerge w:val="restart"/>
          </w:tcPr>
          <w:p>
            <w:pPr>
              <w:ind w:left="1880"/>
              <w:spacing w:after="0"/>
              <w:rPr>
                <w:sz w:val="20"/>
                <w:szCs w:val="20"/>
                <w:color w:val="auto"/>
              </w:rPr>
            </w:pPr>
            <w:r>
              <w:rPr>
                <w:rFonts w:ascii="Times New Roman" w:cs="Times New Roman" w:eastAsia="Times New Roman" w:hAnsi="Times New Roman"/>
                <w:sz w:val="18"/>
                <w:szCs w:val="18"/>
                <w:color w:val="auto"/>
                <w:w w:val="96"/>
              </w:rPr>
              <w:t>ANNEX A</w:t>
            </w:r>
          </w:p>
        </w:tc>
        <w:tc>
          <w:tcPr>
            <w:tcW w:w="0" w:type="dxa"/>
            <w:vAlign w:val="bottom"/>
          </w:tcPr>
          <w:p>
            <w:pPr>
              <w:spacing w:after="0"/>
              <w:rPr>
                <w:sz w:val="1"/>
                <w:szCs w:val="1"/>
                <w:color w:val="auto"/>
              </w:rPr>
            </w:pPr>
          </w:p>
        </w:tc>
      </w:tr>
      <w:tr>
        <w:trPr>
          <w:trHeight w:val="216"/>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gridSpan w:val="3"/>
            <w:vMerge w:val="continue"/>
          </w:tcPr>
          <w:p>
            <w:pPr>
              <w:spacing w:after="0"/>
              <w:rPr>
                <w:sz w:val="16"/>
                <w:szCs w:val="16"/>
                <w:color w:val="auto"/>
              </w:rPr>
            </w:pPr>
          </w:p>
        </w:tc>
        <w:tc>
          <w:tcPr>
            <w:tcW w:w="10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1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Entity</w:t>
            </w: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Title of Officer Executing on Behalf of Such Entity</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 Australia Inc.</w:t>
            </w:r>
          </w:p>
        </w:tc>
        <w:tc>
          <w:tcPr>
            <w:tcW w:w="76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 General FTS Inc.</w:t>
            </w:r>
          </w:p>
        </w:tc>
        <w:tc>
          <w:tcPr>
            <w:tcW w:w="76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O-I Packaging Solutions LLC</w:t>
            </w:r>
          </w:p>
        </w:tc>
        <w:tc>
          <w:tcPr>
            <w:tcW w:w="76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Owens-Illinois Group, Inc.</w:t>
            </w:r>
          </w:p>
        </w:tc>
        <w:tc>
          <w:tcPr>
            <w:tcW w:w="76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Assistant Treasurer</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Owens-Brockway Packaging, Inc.</w:t>
            </w:r>
          </w:p>
        </w:tc>
        <w:tc>
          <w:tcPr>
            <w:tcW w:w="76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Vice President and Assistant Treasurer</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Owens-Illinois General Inc.</w:t>
            </w:r>
          </w:p>
        </w:tc>
        <w:tc>
          <w:tcPr>
            <w:tcW w:w="76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President, Chairman and Chief Executive Officer</w:t>
            </w:r>
          </w:p>
        </w:tc>
        <w:tc>
          <w:tcPr>
            <w:tcW w:w="0" w:type="dxa"/>
            <w:vAlign w:val="bottom"/>
          </w:tcPr>
          <w:p>
            <w:pPr>
              <w:spacing w:after="0"/>
              <w:rPr>
                <w:sz w:val="1"/>
                <w:szCs w:val="1"/>
                <w:color w:val="auto"/>
              </w:rPr>
            </w:pPr>
          </w:p>
        </w:tc>
      </w:tr>
      <w:tr>
        <w:trPr>
          <w:trHeight w:val="234"/>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 ANNEX A</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Owens-Brockway Glass Container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Owens-Illinois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Michael Owens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Perrysburg, OH 43551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  9.500% Senior Notes due 2033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(CUSIP/ISIN 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hereby made to the Indenture, dated as of May 18, 2026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by and among Owens-Brockway Glass Container Inc., a Delaware corporation,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and Regions Bank, a state banking corporation existing under the laws of the State of Alabama, as Trustee. Capitalized terms used but not defined herein shall have the meanings given to them in the Indenture.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 (the “</w:t>
      </w:r>
      <w:r>
        <w:rPr>
          <w:rFonts w:ascii="Times New Roman" w:cs="Times New Roman" w:eastAsia="Times New Roman" w:hAnsi="Times New Roman"/>
          <w:sz w:val="18"/>
          <w:szCs w:val="18"/>
          <w:i w:val="1"/>
          <w:i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principal amount of $______ in such Note[s] or interests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to __________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as further specified in Annex A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Transfer, the Transferor hereby certifies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1.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  Check if Transferee will take delivery of a beneficial interest in a 144A Global Security or a Definitive Security pursuant to Rule 144A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Transfer is being effected pursuant to and in accordance with Rule 144A under the United States Securities Act of 1933, as amended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and, accordingly, the Transferor hereby further certifies that the beneficial interest or Definitive Security is being transferred to a Person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Transferor reasonably believed and believes is purchasing the beneficial interest or Definitive Security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Security will be subject to the restrictions on transfer enumerated in the Private Placement Legend printed on the 144A Global Security and/or the Definitive Security and in the Indenture and the Securities Act.  </w:t>
      </w:r>
    </w:p>
    <w:p>
      <w:pPr>
        <w:spacing w:after="0" w:line="21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2.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  Check if Transferee will take delivery of a beneficial interest in a Regulation S Global Security or a Definitive Security pursuant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pursuant to and in accordance with Rule 903 or Rule 904 under the Securities Act and, accordingly,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Transferor hereby further certifies that (i) the Transfer is not being made to a person in the United States and (x) at the time the buy order was originated,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was outside the United States or such Transferor and any Person acting on its behalf reasonably believed and believes that the Transferee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the United States or (y) the transaction was executed in, on or through the facilities of a designated offshore securities market and neither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Transferor nor any Person acting on its behalf knows that the transaction was prearranged with a buyer in the United States, (ii) no directed selling efforts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made in contravention of the requirements of Rule 903(b) or Rule 904(b) of Regulation S under the Securities Act, (iii) the transaction is not 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plan or scheme to evade the registration requirements of the Securities Act and (iv) if the proposed transfer is being made prior to the expiration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Period, the transfer is not being made to a U.S. Person or for the account or benefit of a U.S. Person (other than an initial purchaser).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the proposed transfer in accordance with the terms of the Indenture, the transferred beneficial interest or Definitive Security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restrictions on Transfer enumerated in the Private Placement Legend printed on the Regulation S Global Security and/or the Definitive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and in the Indenture and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3.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  Check and complete if Transferee will take delivery of a beneficial interest in the Global Security or a Definitive Security pursuant to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provision of the Securities Act other than Rule 144A or 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in compliance with the transfer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beneficial interests in Restricted Global Securities and Restricted Definitive Securities and pursuant to and in accordance with the Securities Act and any applicable blue sky securities laws of any state of the United States, and accordingly the Transferor hereby further certifies that (check one):  </w:t>
      </w:r>
    </w:p>
    <w:p>
      <w:pPr>
        <w:spacing w:after="0" w:line="207"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such Transfer is being effected pursuant to and in accordance with Rule 144 under the Securities 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such Transfer is being effected to the Company or a Subsidiary thereof;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firstLine="648"/>
        <w:spacing w:after="0" w:line="219" w:lineRule="exact"/>
        <w:rPr>
          <w:sz w:val="20"/>
          <w:szCs w:val="20"/>
          <w:color w:val="auto"/>
        </w:rPr>
      </w:pPr>
      <w:r>
        <w:rPr>
          <w:rFonts w:ascii="Times New Roman" w:cs="Times New Roman" w:eastAsia="Times New Roman" w:hAnsi="Times New Roman"/>
          <w:sz w:val="18"/>
          <w:szCs w:val="18"/>
          <w:color w:val="auto"/>
        </w:rPr>
        <w:t>(c)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such Transfer is being effected pursuant to an effective registration statement under the Securities Act and in compliance with the prospectus delivery requirements of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Check if Transferee will take delivery of a beneficial interest in an Unrestricted Global Security or an Unrestricted Definitive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Check if Transfer is pursuant to Rule 144.</w:t>
      </w:r>
      <w:r>
        <w:rPr>
          <w:rFonts w:ascii="Times New Roman" w:cs="Times New Roman" w:eastAsia="Times New Roman" w:hAnsi="Times New Roman"/>
          <w:sz w:val="18"/>
          <w:szCs w:val="18"/>
          <w:color w:val="auto"/>
        </w:rPr>
        <w:t xml:space="preserve"> (i) The Transfer is being effected pursuant to and in accordance with Rule 144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Act and in compliance with the transfer restrictions contained in the Indenture and any applicable blue sky securities laws of any state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United States and (ii) the restrictions on transfer contained in the Indenture and the Private Placement Legend are not required in order to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 Securities Act. Upon consummation of the proposed Transfer in accordance with the terms of the Indenture, the transferred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or Definitive Security will no longer be subject to the restrictions on transfer enumerated in the Private Placement Legend printed on the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Securities, on Restricted Definitive Securities and in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firstLine="1296"/>
        <w:spacing w:after="0" w:line="219"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Check if Transfer is pursuant to Regulation S.</w:t>
      </w:r>
      <w:r>
        <w:rPr>
          <w:rFonts w:ascii="Times New Roman" w:cs="Times New Roman" w:eastAsia="Times New Roman" w:hAnsi="Times New Roman"/>
          <w:sz w:val="18"/>
          <w:szCs w:val="18"/>
          <w:color w:val="auto"/>
        </w:rPr>
        <w:t xml:space="preserve">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Security will no longer be subject to the restrictions on transfer enumerated in the Private Placement Legend printed on the Restricted Global Securities, on Restricted Definitive Securities and in the Indenture.  </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ind w:left="1300"/>
        <w:spacing w:after="0" w:line="196" w:lineRule="exact"/>
        <w:rPr>
          <w:sz w:val="20"/>
          <w:szCs w:val="20"/>
          <w:color w:val="auto"/>
        </w:rPr>
      </w:pPr>
      <w:r>
        <w:rPr>
          <w:rFonts w:ascii="Times New Roman" w:cs="Times New Roman" w:eastAsia="Times New Roman" w:hAnsi="Times New Roman"/>
          <w:sz w:val="17"/>
          <w:szCs w:val="17"/>
          <w:color w:val="auto"/>
        </w:rPr>
        <w:t>(c)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Check if Transfer is pursuant to Other Exemption.</w:t>
      </w:r>
      <w:r>
        <w:rPr>
          <w:rFonts w:ascii="Times New Roman" w:cs="Times New Roman" w:eastAsia="Times New Roman" w:hAnsi="Times New Roman"/>
          <w:sz w:val="17"/>
          <w:szCs w:val="17"/>
          <w:color w:val="auto"/>
        </w:rPr>
        <w:t xml:space="preserve"> (i) The Transfer is being effected pursuant to and in compliance with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 from the registration requirements of the Securities Act other than Rule 144, Rule 903 or Rule 904 and in compliance with the transfer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contained in the Indenture and any applicable blue sky securities laws of any State of the United States and (ii) the restrictions on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the Indenture and the Private Placement Legend are not required in order to maintain compliance with the Securities Act. Upon consummation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proposed Transfer in accordance with the terms of the Indenture, the transferred beneficial interest or Definitive Security will not be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on transfer enumerated in the Private Placement Legend printed on the Restricted Global Securities or Restricted Definitive Securities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Unless one of the boxes is checked, the Trustee will refuse to register any of the Notes evidenced by this certificate in the name of any Person other than the registered Holder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or the Trustee may require, prior to registering any such transfer of the Notes, such legal opinions, certifications and other information as the Company or the Trustee has reasonably requested to confirm that such transfer is being made pursuant to an exemption from, or in a transaction not subject to, the registration requirements of the Securities Act.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Company.</w:t>
      </w: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r>
      <w:tr>
        <w:trPr>
          <w:trHeight w:val="191"/>
        </w:trPr>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[Insert Name of Transferor]</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20"/>
                <w:szCs w:val="20"/>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w:t>
            </w:r>
          </w:p>
        </w:tc>
      </w:tr>
      <w:tr>
        <w:trPr>
          <w:trHeight w:val="191"/>
        </w:trPr>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6"/>
                <w:szCs w:val="16"/>
                <w:color w:val="auto"/>
              </w:rPr>
            </w:pPr>
          </w:p>
        </w:tc>
        <w:tc>
          <w:tcPr>
            <w:tcW w:w="3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__________________</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32"/>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8"/>
                <w:szCs w:val="18"/>
                <w:color w:val="auto"/>
              </w:rPr>
              <w:t>A-3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18"/>
          <w:szCs w:val="18"/>
          <w:b w:val="1"/>
          <w:bCs w:val="1"/>
          <w:color w:val="auto"/>
        </w:rPr>
        <w:t>ANNEX A TO CERTIFICATE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Transferor owns and proposes to transfer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[CHECK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beneficial interest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144A Global Security (CUSIP/ISIN ____), or </w:t>
      </w:r>
    </w:p>
    <w:p>
      <w:pPr>
        <w:spacing w:after="0" w:line="9"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Regulation S Global Security (CUSIP/ISIN ____),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Restricted Definitive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After the Transfer the Transferee will 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[CHECK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beneficial interest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144A Global Security (CUSIP/ISIN ________), or </w:t>
      </w:r>
    </w:p>
    <w:p>
      <w:pPr>
        <w:spacing w:after="0" w:line="9"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Regulation S Global Security (CUSIP/ISIN ________), or </w:t>
      </w:r>
    </w:p>
    <w:p>
      <w:pPr>
        <w:spacing w:after="0" w:line="9"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(iii)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Unrestricted Global Security (CUSIP/ISIN _______),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Restricted Definitive Security;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 Unrestricted Definitive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OF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Owens-Brockway Glass Container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Owens-Illinois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Michael Owens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Perrysburg, OH 43551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  9.500% Senior Notes due 2033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(CUSIP/ISIN 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hereby made to the Indenture, dated as of May 18, 2026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by and among Owens-Brockway Glass Container Inc., A Delaware corporation,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and Regions Bank, a state banking corporation existing under the laws of the State of Alabama, as Trustee. Capitalized terms used but not defined herein shall have the meanings given to them in the Indenture.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__________________ (the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 in such Note[s] or interests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Exchange of Restricted Definitive Securities or Beneficial Interests in a Restricted Global Security for Unrestricted Definitive Securities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Interests in an Unrestricted Global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firstLine="1296"/>
        <w:spacing w:after="0" w:line="218"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Check if Exchange is from beneficial interest in a Restricted Global Security to beneficial interest in an 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Global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Exchange of the Owner’s beneficial interest in a Restricted Global Security for a beneficial interest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Unrestricted Global Security in an equal principal amount, the Owner hereby certifies (i) the beneficial interest is being acquired for the Owner’s own account without transfer, (ii) such Exchange has been effected in compliance with the transfer restrictions applicable to the Global Securities and pursuant to and in accordance with the United States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(iii) the restrictions on transfer contained in the Indenture and the Private Placement Legend are not required in order to maintain compliance with the Securities Act and (iv) the beneficial interest in an Unrestricted Global Security is being acquired in compliance with any applicable blue sky securities laws of any state of the United States.  </w:t>
      </w:r>
    </w:p>
    <w:p>
      <w:pPr>
        <w:spacing w:after="0" w:line="207" w:lineRule="exact"/>
        <w:rPr>
          <w:sz w:val="20"/>
          <w:szCs w:val="20"/>
          <w:color w:val="auto"/>
        </w:rPr>
      </w:pPr>
    </w:p>
    <w:p>
      <w:pPr>
        <w:ind w:firstLine="1296"/>
        <w:spacing w:after="0" w:line="219"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Check If Exchange is from Restricted Definitive Security to beneficial interest in an Unrestricted Global Security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connection with the Owner’s Exchange of a Restricted Definitive Security for a beneficial interest in an Unrestricted Global Security, the Owner hereby certifies (i) the beneficial interest is being acquired for the Owner’s own account without transfer, (ii) such Exchange has been effected in compliance with the transfer restrictions applicable to Restricted Definitive Securities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  </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ind w:firstLine="1296"/>
        <w:spacing w:after="0" w:line="219" w:lineRule="exact"/>
        <w:rPr>
          <w:sz w:val="20"/>
          <w:szCs w:val="20"/>
          <w:color w:val="auto"/>
        </w:rPr>
      </w:pPr>
      <w:r>
        <w:rPr>
          <w:rFonts w:ascii="Times New Roman" w:cs="Times New Roman" w:eastAsia="Times New Roman" w:hAnsi="Times New Roman"/>
          <w:sz w:val="18"/>
          <w:szCs w:val="18"/>
          <w:color w:val="auto"/>
        </w:rPr>
        <w:t>(c)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Check if Exchange is from Restricted Definitive Security to Unrestricted Definitive Security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connection with the Owner’s Exchange of a Restricted Definitive Security for an Unrestricted Definitive Security, the Owner hereby certifies (i) the Unrestricted Definitive Security is being acquired for the Owner’s own account without transfer, (ii) such Exchange has been effected in compliance with the transfer restrictions applicable to Restricted Definitive Securities and pursuant to and in accordance with the Securities Act, (iii) the restrictions on transfer contained in the Indenture and the Private Placement Legend are not required in order to maintain compliance with the Securities Act and (iv) the Unrestricted Definitive Security is being acquired in compliance with any applicable blue sky securities laws of any state of the United States.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Exchange of Restricted Definitive Securities for Restricted Definitive Securities or Beneficial Interests in Restricted Global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firstLine="1296"/>
        <w:spacing w:after="0" w:line="219"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Check if Exchange is from Restricted Definitive Security to beneficial interest in a Restricted Global Security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connection with the Exchange of the Owner’s Restricted Definitive Security for a beneficial interest in the [CHECK ONE] __144A Global Security, 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 Global Security with an equal principal amount, the Owner hereby certifies (i) the beneficial interest is being acquired for the Owner’s 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without transfer and (ii) such Exchange has been effected in compliance with the transfer restrictions applicable to the Restricted Global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pursuant to and in accordance with the Securities Act, and in compliance with any applicable blue sky securities laws of any state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proposed Exchange in accordance with the terms of the Indenture, the beneficial interest issued will be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on transfer enumerated in the Private Placement Legend printed on the relevant Restricted Global Security and in the Indenture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or the Trustee may require, prior to registering any exchange of the Notes, such legal opinions, certifications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as the Company or the Trustee has reasonably requested to confirm that such exchange is being made pursuant to an exemption from, or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not subject to, the registration requirements of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Company.</w:t>
      </w: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r>
      <w:tr>
        <w:trPr>
          <w:trHeight w:val="191"/>
        </w:trPr>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[Insert Name of Owner]</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20"/>
                <w:szCs w:val="20"/>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w:t>
            </w:r>
          </w:p>
        </w:tc>
      </w:tr>
      <w:tr>
        <w:trPr>
          <w:trHeight w:val="191"/>
        </w:trPr>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6"/>
                <w:szCs w:val="16"/>
                <w:color w:val="auto"/>
              </w:rPr>
            </w:pPr>
          </w:p>
        </w:tc>
        <w:tc>
          <w:tcPr>
            <w:tcW w:w="3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__________________</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32"/>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8"/>
                <w:szCs w:val="18"/>
                <w:color w:val="auto"/>
              </w:rPr>
              <w:t>B-2</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For value received, the undersigned (including any successor Person under the Indenture) has, jointly and severally, unconditionally guaranteed, to the extent set forth in the Indenture and subject to the provisions in the Indenture dated as of May 18, 2026, as such Indenture may be supplemented or amended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by and among Owens-Brockway Glass Container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listed on the signature pages thereto, and Regions Bank, a state banking corporation existing under the laws of the State of Alabama as Trustee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 the due and punctual payment of Principal of and interest on the Notes (as defined in the Indenture), whether at Stated Maturity, by acceleration, by redemption or otherwise, and all other monetary obligations of the Company under the Indenture (including obligations to the Trustee and any Agent) with respect to the Notes and (b) the due and punctual performance within applicable grace periods of all other obligations of the Company under the Indenture with respect to the Notes. The obligations of the undersigned to the Holders of such Notes and to the Trustee pursuant to this Guarantee and the Indenture are expressly set forth in Article 10 of the Indenture and reference is hereby made to the Indenture for the precise terms of this Guarantee. The undersigned further agree that the obligations may be extended or renewed, in whole or in part, without notice or further assent from the undersigned, and that the undersigned will remain bound under Article 10 of the Indenture notwithstanding any extension or renewal of any obligation.  </w:t>
      </w:r>
    </w:p>
    <w:p>
      <w:pPr>
        <w:spacing w:after="0" w:line="211"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The terms of the Indenture, including, without limitation, Article 10 of the Indenture, are incorporated herein by reference. Capitalized terms used herein shall have the meanings assigned to them in the Indenture unless otherwise indicated.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This Guarantee shall be governed by and construed in accordance with the laws of the State of New York.</w:t>
            </w: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4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of Guarantor]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20"/>
                <w:szCs w:val="20"/>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6"/>
                <w:szCs w:val="16"/>
                <w:color w:val="auto"/>
              </w:rPr>
            </w:pPr>
          </w:p>
        </w:tc>
        <w:tc>
          <w:tcPr>
            <w:tcW w:w="3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[Insert the Global Security Legend, if applicable pursuant to the provisions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[Insert the Private Placement Legend, if applicable pursuant to the provisions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[Insert, if applicable, the Regulation S Legend, pursuant to the provisions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[Insert the ERISA Legend]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4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8"/>
              </w:rPr>
              <w:t>OWENS-BROCKWAY GLASS</w:t>
            </w:r>
          </w:p>
        </w:tc>
        <w:tc>
          <w:tcPr>
            <w:tcW w:w="2740" w:type="dxa"/>
            <w:vAlign w:val="bottom"/>
          </w:tcPr>
          <w:p>
            <w:pPr>
              <w:ind w:left="27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54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CONTAINER INC.</w:t>
            </w: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4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9.500% Senior Notes due 2033</w:t>
            </w:r>
          </w:p>
        </w:tc>
        <w:tc>
          <w:tcPr>
            <w:tcW w:w="2740" w:type="dxa"/>
            <w:vAlign w:val="bottom"/>
          </w:tcPr>
          <w:p>
            <w:pPr>
              <w:ind w:left="27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45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754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ISIN ____________</w:t>
            </w:r>
            <w:r>
              <w:rPr>
                <w:rFonts w:ascii="Times New Roman" w:cs="Times New Roman" w:eastAsia="Times New Roman" w:hAnsi="Times New Roman"/>
                <w:sz w:val="29"/>
                <w:szCs w:val="29"/>
                <w:color w:val="auto"/>
                <w:w w:val="99"/>
                <w:vertAlign w:val="superscript"/>
              </w:rPr>
              <w:t>1</w:t>
            </w:r>
          </w:p>
        </w:tc>
        <w:tc>
          <w:tcPr>
            <w:tcW w:w="2740" w:type="dxa"/>
            <w:vAlign w:val="bottom"/>
          </w:tcPr>
          <w:p>
            <w:pPr>
              <w:jc w:val="right"/>
              <w:ind w:right="127"/>
              <w:spacing w:after="0"/>
              <w:rPr>
                <w:sz w:val="20"/>
                <w:szCs w:val="20"/>
                <w:color w:val="auto"/>
              </w:rPr>
            </w:pPr>
            <w:r>
              <w:rPr>
                <w:rFonts w:ascii="Times New Roman" w:cs="Times New Roman" w:eastAsia="Times New Roman" w:hAnsi="Times New Roman"/>
                <w:sz w:val="18"/>
                <w:szCs w:val="18"/>
                <w:color w:val="auto"/>
              </w:rPr>
              <w:t>$________</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40" w:type="dxa"/>
            <w:vAlign w:val="bottom"/>
          </w:tcPr>
          <w:p>
            <w:pPr>
              <w:jc w:val="center"/>
              <w:ind w:left="1650"/>
              <w:spacing w:after="0" w:line="256" w:lineRule="exact"/>
              <w:rPr>
                <w:sz w:val="20"/>
                <w:szCs w:val="20"/>
                <w:color w:val="auto"/>
              </w:rPr>
            </w:pPr>
            <w:r>
              <w:rPr>
                <w:rFonts w:ascii="Times New Roman" w:cs="Times New Roman" w:eastAsia="Times New Roman" w:hAnsi="Times New Roman"/>
                <w:sz w:val="18"/>
                <w:szCs w:val="18"/>
                <w:color w:val="auto"/>
                <w:w w:val="97"/>
              </w:rPr>
              <w:t>CUSIP No. _________</w:t>
            </w:r>
            <w:r>
              <w:rPr>
                <w:rFonts w:ascii="Times New Roman" w:cs="Times New Roman" w:eastAsia="Times New Roman" w:hAnsi="Times New Roman"/>
                <w:sz w:val="29"/>
                <w:szCs w:val="29"/>
                <w:color w:val="auto"/>
                <w:w w:val="97"/>
                <w:vertAlign w:val="superscript"/>
              </w:rPr>
              <w:t>2</w:t>
            </w:r>
          </w:p>
        </w:tc>
        <w:tc>
          <w:tcPr>
            <w:tcW w:w="2740" w:type="dxa"/>
            <w:vAlign w:val="bottom"/>
          </w:tcPr>
          <w:p>
            <w:pPr>
              <w:ind w:left="270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280" w:type="dxa"/>
            <w:vAlign w:val="bottom"/>
            <w:gridSpan w:val="2"/>
            <w:vMerge w:val="restart"/>
          </w:tcPr>
          <w:p>
            <w:pPr>
              <w:jc w:val="right"/>
              <w:ind w:right="167"/>
              <w:spacing w:after="0"/>
              <w:rPr>
                <w:sz w:val="20"/>
                <w:szCs w:val="20"/>
                <w:color w:val="auto"/>
              </w:rPr>
            </w:pPr>
            <w:r>
              <w:rPr>
                <w:rFonts w:ascii="Times New Roman" w:cs="Times New Roman" w:eastAsia="Times New Roman" w:hAnsi="Times New Roman"/>
                <w:sz w:val="18"/>
                <w:szCs w:val="18"/>
                <w:color w:val="auto"/>
              </w:rPr>
              <w:t>OWENS-BROCKWAY GLASS CONTAINER INC., a Delaware corporation (the “Company”), for value received, hereby promises to</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pay to Cede &amp; Co., as nominee of The Depository Trust Company, or registered assigns, the principal sum of            DOLLARS ($_________) on June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Interest Payment Dates: June 1 and December 1, commencing 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Record Dates: May 15 and November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Additional provisions of this Note are set forth below following the signature of the authorized officer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7830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120" w:hanging="112"/>
        <w:spacing w:after="0" w:line="203" w:lineRule="auto"/>
        <w:tabs>
          <w:tab w:leader="none" w:pos="12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Rule 144A: US69073TAW36 / Regulation S: USU68337AQ46</w:t>
      </w:r>
    </w:p>
    <w:p>
      <w:pPr>
        <w:spacing w:after="0" w:line="128" w:lineRule="exact"/>
        <w:rPr>
          <w:sz w:val="20"/>
          <w:szCs w:val="20"/>
          <w:color w:val="auto"/>
        </w:rPr>
      </w:pPr>
    </w:p>
    <w:p>
      <w:pPr>
        <w:ind w:left="120" w:hanging="112"/>
        <w:spacing w:after="0"/>
        <w:tabs>
          <w:tab w:leader="none" w:pos="120"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Rule 144A: 69073T AW3 / Regulation S: U68337 AQ4</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signed manually, electronically or by facsimile by its duly authorized</w:t>
      </w: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88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OWENS-BROCKWAY GLASS CONTAINER INC.</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6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w:t>
            </w:r>
          </w:p>
        </w:tc>
      </w:tr>
      <w:tr>
        <w:trPr>
          <w:trHeight w:val="191"/>
        </w:trPr>
        <w:tc>
          <w:tcPr>
            <w:tcW w:w="3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25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20"/>
                <w:szCs w:val="20"/>
                <w:color w:val="auto"/>
              </w:rPr>
            </w:pPr>
          </w:p>
        </w:tc>
        <w:tc>
          <w:tcPr>
            <w:tcW w:w="52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Dated: [               ] [    ], 20[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BANK, as Trustee</w:t>
      </w: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Dated: [ ] [ ], 20[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OWENS-BROCKWAY GLASS CONTAINER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9.500% SENIOR NOTES DUE 2033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OWENS-BROCKWAY GLASS CONTAINER INC., a Delaware corporation (such entity, and its successors and assigns under the Indenture hereinafter referred to, being herein called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promises to pay interest on the principal amount of this Note at the rate per annum shown above. Interest on this Note shall accrue from the most recent interest payment date to which interest has been paid or provided for, as the case may be, or, if no interest has been paid, from and including [</w:t>
      </w:r>
      <w:r>
        <w:rPr>
          <w:rFonts w:ascii="Times New Roman" w:cs="Times New Roman" w:eastAsia="Times New Roman" w:hAnsi="Times New Roman"/>
          <w:sz w:val="18"/>
          <w:szCs w:val="18"/>
          <w:i w:val="1"/>
          <w:iCs w:val="1"/>
          <w:color w:val="auto"/>
        </w:rPr>
        <w:t>the date of issuance of Initial Notes or the last interest payment date prior to the issuance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Notes, as applicable</w:t>
      </w:r>
      <w:r>
        <w:rPr>
          <w:rFonts w:ascii="Times New Roman" w:cs="Times New Roman" w:eastAsia="Times New Roman" w:hAnsi="Times New Roman"/>
          <w:sz w:val="18"/>
          <w:szCs w:val="18"/>
          <w:color w:val="auto"/>
        </w:rPr>
        <w:t>]; interest on this Note shall be payable semi-annually on June 1 and December 1 of each year until maturity, or, if such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a Business Day, on the next succeeding Business Day and no interest shall accrue for the intervening period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commencing on ; and interest on this Note shall be payable to holders of record on the May 15 and November 15 immediately preceding the applicable Interest Payment Date. Interest will be computed on the basis of a 360-day year of twelve 30-day months. The Company shall pay defaulted interest on overdue interest, plus (to the extent lawful) any interest payable on the defaulted interest, as provided in Section 2.11 of the Indenture.  </w:t>
      </w:r>
    </w:p>
    <w:p>
      <w:pPr>
        <w:spacing w:after="0" w:line="212"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interest on this Note (except defaulted interest) to the Persons who are holders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 of record in the note register of the Company (the “</w:t>
      </w: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of this Note at the close of business on the May 15 and November 15 (each, a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next preceding the Interest Payment Date, in each case even if the Note is cancelled solely by virtue of registration of transfer or registration of exchange after such Record Date. The Company will pay Principal and interest in money of the United States that at the time of payment is legal tender for payment of public and private debts. If a Holder of Notes holds Notes as Definitive Securities and has given wire instructions to the Company, the Company will pay all Principal of and interest on this Note in accordance with those instructions, and this Note may be exchanged or transferred, at the office or agency of the Company in the Borough of Manhattan, the City of New York (which initially will be a Corporate Trust Office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option of the Company, payment of interest may be made by check mailed to the address of each Holder as such address appears in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payment by wire transfer of immediately available funds will be required with respect to Principal of and interest on all Global Securities in accordance with the procedures of DTC and all other Notes the Holders of which will have provided wire transfer instructions to the Company or the Paying Agent. Such payment will be in such coin or currency of the United States as at the time of payment is legal tender for payment of public and private debts.</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Registrar</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Regions Bank, a state banking corporation existing under the laws of the State of Alabama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will also act as Paying Agent and Registrar for the Notes. The Company may appoint and change any Paying Agent, Registrar or co-Registrar without notice to any Holder. The Company or any of its Restricted Subsidiaries may act as Paying Agent, Registrar or co-Registrar.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issued this Note under an Indenture dated as of May 18, 2026 among the Company, the Guarantors and the Trustee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This Note is a series designated as the “9.500% Senior Notes due 2033” of the Company. The Company may issue Additional Notes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after this Note has been issued. The Notes of this series and any Additional Notes of this series subsequently issued under the Indenture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 as a single class for all purposes under the Indenture, including, without limitation, waivers, amendments, redemptions and offers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Additional Notes will not be issued with the same CUSIP or ISIN, as applicable, as the Notes of this series unless such Additional Notes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fungible with the Notes of this series for U.S. federal income tax purposes. The terms of this Note include those stated in the Indenture. This Note is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such terms, and Holders are referred to the Indenture for a statement of those terms. Any conflict between the terms of this Note and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governed by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June 1, 2029, the Company may redeem all or a part of the Notes, upon not less than 10 nor more than 60 days’ prior notice to Holders as provided under Section 3.02 and Section 3.03 of the Indenture, at the following redemption prices (expressed as a percentage of principal amount), plus accrued and unpaid interest to (but not including) the redemption date (subject to the right of Holders of record on the relevant record date to receive interest due on the Notes on the relevant interest payment date), if redeemed during the 12-month period commencing on June 1 of the years set forth below:</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2820" w:type="dxa"/>
        <w:tblCellMar>
          <w:top w:w="0" w:type="dxa"/>
          <w:left w:w="0" w:type="dxa"/>
          <w:bottom w:w="0" w:type="dxa"/>
          <w:right w:w="0" w:type="dxa"/>
        </w:tblCellMar>
      </w:tblP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Redemption Price </w:t>
            </w:r>
          </w:p>
        </w:tc>
      </w:tr>
      <w:tr>
        <w:trPr>
          <w:trHeight w:val="20"/>
        </w:trPr>
        <w:tc>
          <w:tcPr>
            <w:tcW w:w="402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104.750%</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102.375%</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4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At any time prior to June 1, 2029, the Company may redeem on any one or more occasions up to 40% of the aggregate principal amount of the Notes (calculated after giving effect to any issuance of Additional Notes), upon not less than 10 nor more than 60 days’ prior notice to Holders as provided under Section 3.02 and Section 3.03 of the Indenture, at a redemption price of 109.500% of the principal amount thereof, plus accrued and unpaid interest to (but not including) the redemption date, with the net cash proceeds of one or more Equity Offerings to the extent the net cash proceeds thereof are contributed to the Company or used to purchase from the Company Capital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p>
    <w:p>
      <w:pPr>
        <w:spacing w:after="0" w:line="205" w:lineRule="exact"/>
        <w:rPr>
          <w:sz w:val="20"/>
          <w:szCs w:val="20"/>
          <w:color w:val="auto"/>
        </w:rPr>
      </w:pPr>
    </w:p>
    <w:p>
      <w:pPr>
        <w:jc w:val="both"/>
        <w:ind w:left="1960" w:hanging="656"/>
        <w:spacing w:after="0" w:line="250" w:lineRule="auto"/>
        <w:tabs>
          <w:tab w:leader="none" w:pos="1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aggregate principal amount of the Notes (calculated after giving effect to any issuance of Additional Notes) remains outstanding immediately after the occurrence of such redemption (excluding notes held by OI Glass (or any Parent) and its Subsidiaries) (unless all notes are redeemed substantially concurrently therewith);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must occur within 180 days of the date of the closing of such Equity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At any time prior to June 1, 2029, the Company may redeem all or a part of the Notes, upon not less than 10 nor more than 60 days’ prior notice to Holders as provided under Section 3.02 and Section 3.03 of the Indenture, at a redemption price equal to 100% of the principal amount of the Notes to be redeemed, plus the Applicable Premium as of, and accrued and unpaid interest to (but not including), the redemption date (subject to the right of Holders of record on the relevant record date to receive interest due on the Notes on the relevant interest payment date).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means, with respect to any Note on any redemption date, an amount equal to the 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80" w:hanging="652"/>
        <w:spacing w:after="0"/>
        <w:tabs>
          <w:tab w:leader="none" w:pos="2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such Note;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80" w:hanging="652"/>
        <w:spacing w:after="0"/>
        <w:tabs>
          <w:tab w:leader="none" w:pos="2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hanging="324"/>
        <w:spacing w:after="0" w:line="250" w:lineRule="auto"/>
        <w:tabs>
          <w:tab w:leader="none" w:pos="26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at such redemption date of the sum of (1) 100% of the principal amount that would be payable on such Note on June 1, 2029 plus (2) all required interest payments due on such Note through June 1, 2029 (excluding accrued but unpaid interest to the redemption date) computed using a discount rate equal to the Treasury Rate as of such redemption date plus 50 basis points; over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(b) the outstanding principal amount of such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Treasury Rate</w:t>
      </w:r>
      <w:r>
        <w:rPr>
          <w:rFonts w:ascii="Times New Roman" w:cs="Times New Roman" w:eastAsia="Times New Roman" w:hAnsi="Times New Roman"/>
          <w:sz w:val="17"/>
          <w:szCs w:val="17"/>
          <w:color w:val="auto"/>
        </w:rPr>
        <w:t xml:space="preserve">” means, as of any redemption date, the yield to maturity as of such redemption date calculated as the average of the five most recent daily rates of U.S. Treasury securities with a constant maturity (as compiled and published in the most recent Selected Interest Rates (Daily)—H.15 release that has become publicly available at least two Business Days prior to the redemption date (or, if such release is no longer published, any publicly available source of similar market data)) most nearly equal to the period from the redemption date to June 1, 2029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period from the redemption date to June 1, 2029 is not equal to the constant maturity of a U.S. Treasury security for which a weekly average yield can be calculated, the Treasury Rate shall be obtained by linear interpolation (calculated to the nearest one-twelfth of a year) from the weekly average yields of United States Treasury securities for which such yields can be calculated except that if the period from the redemption date to June 1, 2029 is less than one year, the calculated weekly average yield on actually traded United States Treasury securities adjusted to a constant maturity of one year shall be used.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avoidance of doubt, the Trustee shall have no responsibility, obligation or liability for the calculation of the Applicable 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addition, the Company may acquire Notes by means other than a redemption, whether by tender offer, open market 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negotiated transactions or otherwise, in accordance with applicable securities laws, so long as such acquisition does not otherwise violate the terms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make mandatory redemption or sinking fund payments with respect to this Note.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at the Option of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If a Change of Control occurs, unless the Company has exercised its right to redeem the Notes pursuant to the terms of the Indenture, each Holder of this Note will have the right to require the Company to repurchase all or any part (equal to $2,000 or integral multiples of $1,000 in excess thereof) of that Holder’s Notes pursuant to a Change of Control Offer on the terms set forth in the Indenture.  </w:t>
      </w:r>
    </w:p>
    <w:p>
      <w:pPr>
        <w:spacing w:after="0" w:line="204"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In the event Holders of not less than 90% of the aggregate principal amount of the outstanding Notes tender and do not withdraw such Notes in a Change of Control Offer and the Company purchases all the properly tendered and not withdrawn Notes held by such Holders, within 90 days of such purchase, the Company will have the right, upon not less than 10 days and not more than 60 days prior notice to Holders as provided under Section 3.03 of the Indenture, to redeem all the Notes that remain outstanding following such purchase at a redemption price equal to the Change of Control Payment (it being understood that the date of purchase for purposes of such definition is the redemption date) (subject to the right of Holders of record on the relevant record date to receive interest due on the Notes on the relevant interest payment date).  </w:t>
      </w:r>
    </w:p>
    <w:p>
      <w:pPr>
        <w:spacing w:after="0" w:line="208"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redemption shall be provided at least 10 days but not more than 60 days before the redemption date to each Holder of this Note to be redeemed; provided that a redemption notice may be delivered more than 60 days prior to a redemption date if the notice is issued in connection with a defeasance of this Note or a satisfaction and discharge of the Indenture. Denominations of this Note larger than $2,000 (in integral multiples of $1,000 in excess thereof) may be redeemed in part, except that if all of the Notes of a Holder are to be redeemed, the entire outstanding amount of such Notes held by such Holder shall be redeemed. If this Note is to be redeemed in part only, the notice of redemption that relates to that portion to be redeemed shall state the portion of the principal amount thereof to be redeemed. A new Note in principal amount equal to the unredeemed portion of the original Note shall be issued in the name of the Holder thereof upon cancellation of the original Note. Unless the Company defaults in payment of the redemption price, on and after the redemption date, interest ceases to accrue on the Note or portions thereof called for redemption.</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is in registered form, without coupons, in denominations of $2,000 of principal amount and integral multiples of $1,000 in excess thereof. A Holder may transfer or exchange the Note in accordance with the Indenture. No service charge will be made for any registration of transfer or exchange of Notes, but the Company may require the payment of a sum sufficient to cover any transfer tax or other similar governmental charge payable in connection therewith, subject to and as permitted by the Indenture.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registered Holder of this Note may be treated as the owner of it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to Company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Paying Agent shall pay to the Company upon the Company’s request any money held by them for the payment of Principal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 and Defeasance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Subject to certain conditions, the Company at any time may terminate some or all of its obligations under this Note and the Indenture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deposits with the Trustee (or such other entity designated by it for this purpose) money and/or Government Securities for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and interest on this Note to Maturity as provided in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Indenture, Events of Default include: (1) the Company defaults in the payment of interest on or with respect to the Notes when the same becomes due and payable and the default continues for a period of 30 days; (2) the Company defaults in the payment of the Principal of the Notes when the same becomes due and payable at maturity, upon redemption or otherwise; (3) failure by OI Group or any of its Restricted Subsidiaries to comply with the provisions of Section 4.08 of the Indenture; (4) failure by OI Group or any of its Restricted Subsidiaries for 60 days after notice from the Trustee or the Holders of at least 30% in principal amount of the Notes then outstanding under the Indenture to comply with any of the other agreements (other than those specified in clause (3) above) in the Indenture, the Notes and the Guarantees of the Notes (with respect to any Guarantor); (5) default under any mortgage, indenture or instrument under which there may be issued or by which there may be secured or evidenced any Indebtedness for money borrowed by OI Group or any Restricted Subsidiary (or the payment of which is guaranteed by OI Group or any of its Restricted Subsidiaries) whether such Indebtedness or Guarantee now exists, or is created after the Issue Date, if that default: (a) 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 (b) results in the acceleration of such Indebtedness prior to its express maturity; and in any individual case, (i) the principal amount of any such Indebtedness is equal to or in excess of $100.0 million, or such Indebtedness together with the principal amount of any other such Indebtedness under which there has been a Payment Default or the maturity of which has been so accelerated, aggregates $200.0 million or more and (ii) OI Group has received notice specifying the default from the Trustee or the Holders of at least 30% in principal amount of the Notes then outstanding under the Indenture and does not cure the default within 30 days; (6) any final judgment or order for payment of money in excess of $100.0 million in any individual case and $200.0 million in the aggregate at any time shall be rendered against OI Group or any of its Restricted Subsidiaries and such judgment or order shall not have been paid, discharged or stayed for a period of 60 days after its entry; (7) except as permitted by the Indenture, any Guarantee of the Notes by OI Group or any Guarantor that is a Significant Subsidiary shall be held in any judicial proceeding to be unenforceable or invalid or shall cease for any reason to be in full force and effect or OI Group or any Guarantor that is a Significant Subsidiary, or any Person acting on behalf of any such Guarantor, shall deny or disaffirm its obligations under its Guarantee of the Notes; (8) the Company, OI Group or any Significant Subsidiary of OI Group pursuant to or within the meaning of any Bankruptcy Law: (a) commences a voluntary case; (b) consents to the entry of an order for relief against it in an involuntary case; (c) consents to the appointment of a Custodian of it or for all or substantially all of its property; (d) makes a general assignment for the benefit of its creditors; or (e) admits in writing its inability generally to pay its debts as the same become due; and (9) a court of competent jurisdiction enters an order or decree under any Bankruptcy Law that: (a) is for relief against the Company, OI Group or any Significant Subsidiary of OI Group in an involuntary case; (b) appoints a Custodian of the Company, OI Group or any Significant Subsidiary of OI Group or for all or substantially all of such entity’s property; or (c) orders the liquidation of the Company, OI Group or any Significant Subsidiary of OI Group, and, with respect to (a), (b) and (c), the order or decree remains unstayed and in effect for 60 days.</w:t>
      </w:r>
    </w:p>
    <w:p>
      <w:pPr>
        <w:spacing w:after="0" w:line="1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clauses (8) and (9) of the preceding paragraph occurs and is continuing, the Trustee by notice to the Company, or the Holders of at least 30% in principal amount of the then outstanding Notes by notice in writing to the Company and the Trustee, in the case of notice by the Holders, specifying the respective Event of Default and that it is a “notice of acceleration” as provided in the Indenture, may declare the unpaid Principal of and any accrued and unpaid interest on all the Notes to be due and payable immediately. Upon such declaration the Principal (or such lesser amount) and interest shall be due and payable immediately. If an Event of Default specified in clauses (8) or (9) of the preceding paragraph occurs, all outstanding Notes shall become and be due and payable immediately without any declaration, act or notice or other act on the part of the Trustee or any Holders. At any time after a declaration of acceleration with respect to the Notes has been made, the Holders of a majority in principal amount of the then outstanding Notes by notice to the Trustee may, under certain circumstances, rescind such acceleration and its consequences if the rescission would not conflict with any judgment or decree and if all existing Events of Default with respect to the Notes have been cured or waived except non-payment of Principal (or such lesser amount) or interest that has become due solely because of the acceleration.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Subject to the duty of the Trustee during an Event of Default to act with the required standard of care, the Trustee is under no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exercise any of its rights or powers under the Indenture at the request of any Holder of this Note, unless such Holder shall have offered and, if requested,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to the Trustee indemnity and/or security satisfactory to the Trustee against any loss, liability or expense. Subject to certain provisions,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requiring security or indemnification of the Trustee, the Holders of a majority in principal amount of the outstanding Notes have the right to direct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method and place of conducting any proceeding for exercising any remedy available to the Trustee or exercising any trust or power conferred on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this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Supplements, Amendments and Waivers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the Indenture, the Notes or the Guarantees of the Notes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the Notes or the Guarantees of the Notes may be waived with the consent of the Holders of a majority in principal amount of the then outstanding Notes (including, without limitation, consents obtained in connection with a purchase of, or tender offer or exchange offer for, Notes). The Company and the Trustee may amend or supplement the Indenture, the Notes and the Guarantees of the Notes without notice to or the consent of any holder of Notes in certain circumstances described in the Indenture.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otherwise deal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its Affiliates, with the same rights as if it were not the Trustee; however, if it acquires any conflicting interest, it must eliminate such conflict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90 days or resign.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past, present or future director, officer, employee, incorporator or stockholder, as such, of the Company or any Guarantor, if any, or any successor corporation shall not have any liability for any obligations of the Company or any Guarantor under the Notes, the Indenture or the Guarantees of the Notes, if any,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This Note will be entitled to the benefits of certain Guarantees made for the benefit of the Holders. Reference is hereby made to the Indenture for a statement of the respective rights, limitations of rights, duties and obligations thereunder of the Guarantors, the Trustee and the Holders.  </w:t>
      </w:r>
    </w:p>
    <w:p>
      <w:pPr>
        <w:spacing w:after="0" w:line="200"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NOTE SHALL BE GOVERNED BY AND CONSTRUED IN ACCORDANCE WITH THE LAWS OF THE STATE OF</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YORK.</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not be valid until an authorized signatory of the Trustee (or an authenticating agent) manually or electronically signs or signs by facsimile the certificate of authentication hereon.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(=tenants in common), TEN 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by the entireties), JT TEN (=joint tenants with rights of survivorship and not as tenants in common), CUST (=custodian), and U/G/M/A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(=Uniform Gift to Minors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and ISIN Numbers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and ISIN numbers to be printed on the Notes, and the Trustee may use CUSIP and ISIN numbers in notices as a convenience to Holders. No representation is made as to the accuracy of such numbers either as printed on the Notes or as contained in any notice and reliance may be placed only on the other identification numbers placed thereon.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any Holder upon written request and without charge to the Holder a copy of the Indenture and the form of Note. Such requests may be addressed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Owens-Brockway Glass Container Inc.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One Michael Owens Way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Perrysburg, OH 43551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Attention: Treasurer</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 </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 Owens-Illinois Group, Inc.</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One Michael Owens Way</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Perrysburg, OH 43551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gridSpan w:val="2"/>
            <w:vMerge w:val="restart"/>
          </w:tcPr>
          <w:p>
            <w:pPr>
              <w:ind w:left="2680"/>
              <w:spacing w:after="0"/>
              <w:rPr>
                <w:sz w:val="20"/>
                <w:szCs w:val="20"/>
                <w:color w:val="auto"/>
              </w:rPr>
            </w:pPr>
            <w:r>
              <w:rPr>
                <w:rFonts w:ascii="Times New Roman" w:cs="Times New Roman" w:eastAsia="Times New Roman" w:hAnsi="Times New Roman"/>
                <w:sz w:val="18"/>
                <w:szCs w:val="18"/>
                <w:color w:val="auto"/>
              </w:rPr>
              <w:t>D-12</w:t>
            </w:r>
          </w:p>
        </w:tc>
        <w:tc>
          <w:tcPr>
            <w:tcW w:w="0" w:type="dxa"/>
            <w:vAlign w:val="bottom"/>
          </w:tcPr>
          <w:p>
            <w:pPr>
              <w:spacing w:after="0"/>
              <w:rPr>
                <w:sz w:val="1"/>
                <w:szCs w:val="1"/>
                <w:color w:val="auto"/>
              </w:rPr>
            </w:pPr>
          </w:p>
        </w:tc>
      </w:tr>
      <w:tr>
        <w:trPr>
          <w:trHeight w:val="427"/>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[Print or type assignee’s name, address and zip code]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[Print or type agent’s 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transfer this Note on the books of the Company. The agent may substitute another to act for him.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5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16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Your Signature:  </w:t>
            </w:r>
          </w:p>
        </w:tc>
        <w:tc>
          <w:tcPr>
            <w:tcW w:w="0" w:type="dxa"/>
            <w:vAlign w:val="bottom"/>
          </w:tcPr>
          <w:p>
            <w:pPr>
              <w:spacing w:after="0"/>
              <w:rPr>
                <w:sz w:val="1"/>
                <w:szCs w:val="1"/>
                <w:color w:val="auto"/>
              </w:rPr>
            </w:pPr>
          </w:p>
        </w:tc>
      </w:tr>
      <w:tr>
        <w:trPr>
          <w:trHeight w:val="191"/>
        </w:trPr>
        <w:tc>
          <w:tcPr>
            <w:tcW w:w="4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680" w:type="dxa"/>
            <w:vAlign w:val="bottom"/>
            <w:gridSpan w:val="2"/>
          </w:tcPr>
          <w:p>
            <w:pPr>
              <w:ind w:left="15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(Sign exactly as your name appears on the face of this Note)</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 GUARANTEE</w:t>
            </w: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Borders>
              <w:bottom w:val="single" w:sz="8" w:color="auto"/>
            </w:tcBorders>
          </w:tcPr>
          <w:p>
            <w:pPr>
              <w:spacing w:after="0"/>
              <w:rPr>
                <w:sz w:val="20"/>
                <w:szCs w:val="2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Participant in a Recognized Signature</w:t>
            </w:r>
          </w:p>
        </w:tc>
        <w:tc>
          <w:tcPr>
            <w:tcW w:w="15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Guarantee Medallion Program</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0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8"/>
                <w:szCs w:val="18"/>
                <w:color w:val="auto"/>
              </w:rPr>
              <w:t>D-13</w:t>
            </w: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OF HOLDER TO ELECT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Company pursuant to Section 4.08 of the Indenture, check the box: </w:t>
      </w:r>
      <w:r>
        <w:rPr>
          <w:rFonts w:ascii="MS PGothic" w:cs="MS PGothic" w:eastAsia="MS PGothic" w:hAnsi="MS PGothic"/>
          <w:sz w:val="18"/>
          <w:szCs w:val="18"/>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4.08 of the Indenture, state the amount</w:t>
      </w: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you elect to have purchased: $_______________</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___________________</w:t>
            </w:r>
          </w:p>
        </w:tc>
        <w:tc>
          <w:tcPr>
            <w:tcW w:w="114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Your Signature: </w:t>
            </w:r>
          </w:p>
        </w:tc>
        <w:tc>
          <w:tcPr>
            <w:tcW w:w="0" w:type="dxa"/>
            <w:vAlign w:val="bottom"/>
          </w:tcPr>
          <w:p>
            <w:pPr>
              <w:spacing w:after="0"/>
              <w:rPr>
                <w:sz w:val="1"/>
                <w:szCs w:val="1"/>
                <w:color w:val="auto"/>
              </w:rPr>
            </w:pP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6"/>
                <w:szCs w:val="16"/>
                <w:color w:val="auto"/>
              </w:rPr>
            </w:pPr>
          </w:p>
        </w:tc>
        <w:tc>
          <w:tcPr>
            <w:tcW w:w="1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4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(Sign exactly as your name appears on the face of this Note)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Identification No:  </w:t>
            </w:r>
          </w:p>
        </w:tc>
        <w:tc>
          <w:tcPr>
            <w:tcW w:w="0" w:type="dxa"/>
            <w:vAlign w:val="bottom"/>
          </w:tcPr>
          <w:p>
            <w:pPr>
              <w:spacing w:after="0"/>
              <w:rPr>
                <w:sz w:val="1"/>
                <w:szCs w:val="1"/>
                <w:color w:val="auto"/>
              </w:rPr>
            </w:pPr>
          </w:p>
        </w:tc>
      </w:tr>
      <w:tr>
        <w:trPr>
          <w:trHeight w:val="187"/>
        </w:trPr>
        <w:tc>
          <w:tcPr>
            <w:tcW w:w="44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 GUARANTEE</w:t>
            </w: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auto"/>
            </w:tcBorders>
          </w:tcPr>
          <w:p>
            <w:pPr>
              <w:spacing w:after="0"/>
              <w:rPr>
                <w:sz w:val="20"/>
                <w:szCs w:val="20"/>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Participant in a Recognized Signature</w:t>
            </w:r>
          </w:p>
        </w:tc>
        <w:tc>
          <w:tcPr>
            <w:tcW w:w="1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Guarantee Medallion Program</w:t>
            </w: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8"/>
                <w:szCs w:val="18"/>
                <w:color w:val="auto"/>
              </w:rPr>
              <w:t>D-14</w:t>
            </w:r>
          </w:p>
        </w:tc>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EXCHANGES OF INTERESTS IN THE GLOBAL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The following exchanges of a part of this Global Security for an interest in another Global Security or for a Definitive Security, or exchanges of a part of another Global Security or Definitive Security for an interest in this Global Security, have been made: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Amount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Amount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of this Global</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decrease in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increase in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Security</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authorized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following such</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signatory of</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of this Global</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of this Global</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decrease (or</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Trustee or</w:t>
            </w:r>
          </w:p>
        </w:tc>
        <w:tc>
          <w:tcPr>
            <w:tcW w:w="0" w:type="dxa"/>
            <w:vAlign w:val="bottom"/>
          </w:tcPr>
          <w:p>
            <w:pPr>
              <w:spacing w:after="0"/>
              <w:rPr>
                <w:sz w:val="1"/>
                <w:szCs w:val="1"/>
                <w:color w:val="auto"/>
              </w:rPr>
            </w:pPr>
          </w:p>
        </w:tc>
      </w:tr>
      <w:tr>
        <w:trPr>
          <w:trHeight w:val="234"/>
        </w:trPr>
        <w:tc>
          <w:tcPr>
            <w:tcW w:w="2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Date of Exchange</w:t>
            </w:r>
          </w:p>
        </w:tc>
        <w:tc>
          <w:tcPr>
            <w:tcW w:w="3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Security</w:t>
            </w:r>
          </w:p>
        </w:tc>
        <w:tc>
          <w:tcPr>
            <w:tcW w:w="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Security</w:t>
            </w:r>
          </w:p>
        </w:tc>
        <w:tc>
          <w:tcPr>
            <w:tcW w:w="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increase)</w:t>
            </w:r>
          </w:p>
        </w:tc>
        <w:tc>
          <w:tcPr>
            <w:tcW w:w="100" w:type="dxa"/>
            <w:vAlign w:val="bottom"/>
            <w:vMerge w:val="continue"/>
          </w:tcPr>
          <w:p>
            <w:pPr>
              <w:spacing w:after="0"/>
              <w:rPr>
                <w:sz w:val="20"/>
                <w:szCs w:val="20"/>
                <w:color w:val="auto"/>
              </w:rPr>
            </w:pPr>
          </w:p>
        </w:tc>
        <w:tc>
          <w:tcPr>
            <w:tcW w:w="2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Custodian</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8"/>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This should be included only if the Note is issued in global form.</w:t>
      </w:r>
    </w:p>
    <w:p>
      <w:pPr>
        <w:spacing w:after="0" w:line="7" w:lineRule="exact"/>
        <w:rPr>
          <w:rFonts w:ascii="Times New Roman" w:cs="Times New Roman" w:eastAsia="Times New Roman" w:hAnsi="Times New Roman"/>
          <w:sz w:val="18"/>
          <w:szCs w:val="18"/>
          <w:b w:val="1"/>
          <w:bCs w:val="1"/>
          <w:i w:val="1"/>
          <w:iCs w:val="1"/>
          <w:color w:val="auto"/>
        </w:rPr>
      </w:pPr>
    </w:p>
    <w:p>
      <w:pPr>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[__________] [__], 20[__], among [__________________] (the</w:t>
      </w:r>
    </w:p>
    <w:p>
      <w:pPr>
        <w:spacing w:after="0" w:line="9"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and Regions Bank, a state banking corporation existing under the laws of the State of Alabama,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each of the Company and the Guarantors (as defined in the Indenture referred to below) has heretofore executed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May 18, 2026, providing for the issuance by the Company of an unlimited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9.500% Senior Notes due 2033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and under the Indenture; and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Guarantor</w:t>
      </w:r>
      <w:r>
        <w:rPr>
          <w:rFonts w:ascii="Times New Roman" w:cs="Times New Roman" w:eastAsia="Times New Roman" w:hAnsi="Times New Roman"/>
          <w:sz w:val="18"/>
          <w:szCs w:val="18"/>
          <w:color w:val="auto"/>
        </w:rPr>
        <w:t>. The Guaranteeing Subsidiary hereby agrees to be a Guarantor under the Indenture and to be bound by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applicable to Guarantors, including Article 10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This Supplemental Indenture shall be governed by and construed in accordance with the laws of the State of New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Counterparts</w:t>
      </w:r>
      <w:r>
        <w:rPr>
          <w:rFonts w:ascii="Times New Roman" w:cs="Times New Roman" w:eastAsia="Times New Roman" w:hAnsi="Times New Roman"/>
          <w:sz w:val="17"/>
          <w:szCs w:val="17"/>
          <w:color w:val="auto"/>
        </w:rPr>
        <w:t>. The parties may sign any number of copies of this Supplemental Indenture. Each signed copy shall be an original, but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them together represent the same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of the Sections of this Supplemental Indenture have been inserted for convenience of reference only, are not to be considered a part of this Supplemental Indenture and shall in no way modify or restrict any of the terms or provisions hereof.  </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Ratification of Indenture; Supplemental Indentures Part of Indenture</w:t>
      </w:r>
      <w:r>
        <w:rPr>
          <w:rFonts w:ascii="Times New Roman" w:cs="Times New Roman" w:eastAsia="Times New Roman" w:hAnsi="Times New Roman"/>
          <w:sz w:val="18"/>
          <w:szCs w:val="18"/>
          <w:color w:val="auto"/>
        </w:rPr>
        <w:t>. Except as expressly amended and supplemented hereby,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is in all respects ratified and confirmed and all the terms, conditions and provisions thereof shall remain in full force and effect.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shall form a part of the Indenture for all purposes, and every Holder of Notes heretofore or hereafter authenticated and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bound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Trustee Makes No Representation</w:t>
      </w:r>
      <w:r>
        <w:rPr>
          <w:rFonts w:ascii="Times New Roman" w:cs="Times New Roman" w:eastAsia="Times New Roman" w:hAnsi="Times New Roman"/>
          <w:sz w:val="18"/>
          <w:szCs w:val="18"/>
          <w:color w:val="auto"/>
        </w:rPr>
        <w:t>. The Trustee makes no representation as to the validity or sufficiency of this Supplemental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all as of the date first above</w:t>
            </w:r>
          </w:p>
        </w:tc>
        <w:tc>
          <w:tcPr>
            <w:tcW w:w="0" w:type="dxa"/>
            <w:vAlign w:val="bottom"/>
          </w:tcPr>
          <w:p>
            <w:pPr>
              <w:spacing w:after="0"/>
              <w:rPr>
                <w:sz w:val="1"/>
                <w:szCs w:val="1"/>
                <w:color w:val="auto"/>
              </w:rPr>
            </w:pPr>
          </w:p>
        </w:tc>
      </w:tr>
      <w:tr>
        <w:trPr>
          <w:trHeight w:val="21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written.</w:t>
            </w:r>
          </w:p>
        </w:tc>
        <w:tc>
          <w:tcPr>
            <w:tcW w:w="10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40" w:type="dxa"/>
            <w:vAlign w:val="bottom"/>
            <w:vMerge w:val="continue"/>
          </w:tcPr>
          <w:p>
            <w:pPr>
              <w:spacing w:after="0"/>
              <w:rPr>
                <w:sz w:val="17"/>
                <w:szCs w:val="17"/>
                <w:color w:val="auto"/>
              </w:rPr>
            </w:pPr>
          </w:p>
        </w:tc>
        <w:tc>
          <w:tcPr>
            <w:tcW w:w="50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300" w:type="dxa"/>
            <w:vAlign w:val="bottom"/>
            <w:gridSpan w:val="2"/>
          </w:tcPr>
          <w:p>
            <w:pPr>
              <w:ind w:left="4700"/>
              <w:spacing w:after="0"/>
              <w:rPr>
                <w:sz w:val="20"/>
                <w:szCs w:val="20"/>
                <w:color w:val="auto"/>
              </w:rPr>
            </w:pPr>
            <w:r>
              <w:rPr>
                <w:rFonts w:ascii="Times New Roman" w:cs="Times New Roman" w:eastAsia="Times New Roman" w:hAnsi="Times New Roman"/>
                <w:sz w:val="18"/>
                <w:szCs w:val="18"/>
                <w:color w:val="auto"/>
              </w:rPr>
              <w:t>[NAME OF GUARANTEEING SUBSIDIARY]</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300" w:type="dxa"/>
            <w:vAlign w:val="bottom"/>
            <w:gridSpan w:val="2"/>
          </w:tcPr>
          <w:p>
            <w:pPr>
              <w:ind w:left="470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20" w:type="dxa"/>
            <w:vAlign w:val="bottom"/>
          </w:tcPr>
          <w:p>
            <w:pPr>
              <w:ind w:left="47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02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color w:val="auto"/>
              </w:rPr>
              <w:t>E-3</w:t>
            </w: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38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REGIONS BANK, as Trustee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By:  </w:t>
            </w:r>
          </w:p>
        </w:tc>
      </w:tr>
      <w:tr>
        <w:trPr>
          <w:trHeight w:val="191"/>
        </w:trPr>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5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20"/>
                <w:szCs w:val="20"/>
                <w:color w:val="auto"/>
              </w:rPr>
            </w:pPr>
          </w:p>
        </w:tc>
        <w:tc>
          <w:tcPr>
            <w:tcW w:w="5280" w:type="dxa"/>
            <w:vAlign w:val="bottom"/>
          </w:tcPr>
          <w:p>
            <w:pPr>
              <w:spacing w:after="0"/>
              <w:rPr>
                <w:sz w:val="20"/>
                <w:szCs w:val="20"/>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1)"/>
      <w:numFmt w:val="lowerLetter"/>
      <w:start w:val="4"/>
    </w:lvl>
  </w:abstractNum>
  <w:abstractNum w:abstractNumId="2">
    <w:nsid w:val="32FFF902"/>
    <w:multiLevelType w:val="hybridMultilevel"/>
    <w:lvl w:ilvl="0">
      <w:lvlJc w:val="left"/>
      <w:lvlText w:val="(%1)"/>
      <w:numFmt w:val="lowerRoman"/>
      <w:start w:val="1"/>
    </w:lvl>
  </w:abstractNum>
  <w:abstractNum w:abstractNumId="3">
    <w:nsid w:val="684A481A"/>
    <w:multiLevelType w:val="hybridMultilevel"/>
    <w:lvl w:ilvl="0">
      <w:lvlJc w:val="left"/>
      <w:lvlText w:val="(%1)"/>
      <w:numFmt w:val="lowerRoman"/>
      <w:start w:val="2"/>
    </w:lvl>
  </w:abstractNum>
  <w:abstractNum w:abstractNumId="4">
    <w:nsid w:val="579478FE"/>
    <w:multiLevelType w:val="hybridMultilevel"/>
    <w:lvl w:ilvl="0">
      <w:lvlJc w:val="left"/>
      <w:lvlText w:val="(%1)"/>
      <w:numFmt w:val="lowerRoman"/>
      <w:start w:val="3"/>
    </w:lvl>
  </w:abstractNum>
  <w:abstractNum w:abstractNumId="5">
    <w:nsid w:val="749ABB43"/>
    <w:multiLevelType w:val="hybridMultilevel"/>
    <w:lvl w:ilvl="0">
      <w:lvlJc w:val="left"/>
      <w:lvlText w:val="(%1)"/>
      <w:numFmt w:val="lowerRoman"/>
      <w:start w:val="4"/>
    </w:lvl>
  </w:abstractNum>
  <w:abstractNum w:abstractNumId="6">
    <w:nsid w:val="3DC240FB"/>
    <w:multiLevelType w:val="hybridMultilevel"/>
    <w:lvl w:ilvl="0">
      <w:lvlJc w:val="left"/>
      <w:lvlText w:val="(%1)"/>
      <w:numFmt w:val="lowerRoman"/>
      <w:start w:val="5"/>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1)"/>
      <w:numFmt w:val="decimal"/>
      <w:start w:val="2"/>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2"/>
    </w:lvl>
  </w:abstractNum>
  <w:abstractNum w:abstractNumId="11">
    <w:nsid w:val="70C6A529"/>
    <w:multiLevelType w:val="hybridMultilevel"/>
    <w:lvl w:ilvl="0">
      <w:lvlJc w:val="left"/>
      <w:lvlText w:val="(%1)"/>
      <w:numFmt w:val="lowerLetter"/>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2"/>
    </w:lvl>
  </w:abstractNum>
  <w:abstractNum w:abstractNumId="14">
    <w:nsid w:val="4F4EF005"/>
    <w:multiLevelType w:val="hybridMultilevel"/>
    <w:lvl w:ilvl="0">
      <w:lvlJc w:val="left"/>
      <w:lvlText w:val="(%1)"/>
      <w:numFmt w:val="decimal"/>
      <w:start w:val="1"/>
    </w:lvl>
  </w:abstractNum>
  <w:abstractNum w:abstractNumId="15">
    <w:nsid w:val="23F9C13C"/>
    <w:multiLevelType w:val="hybridMultilevel"/>
    <w:lvl w:ilvl="0">
      <w:lvlJc w:val="left"/>
      <w:lvlText w:val="(%1)"/>
      <w:numFmt w:val="decimal"/>
      <w:start w:val="2"/>
    </w:lvl>
  </w:abstractNum>
  <w:abstractNum w:abstractNumId="16">
    <w:nsid w:val="649BB77C"/>
    <w:multiLevelType w:val="hybridMultilevel"/>
    <w:lvl w:ilvl="0">
      <w:lvlJc w:val="left"/>
      <w:lvlText w:val="(%1)"/>
      <w:numFmt w:val="decimal"/>
      <w:start w:val="3"/>
    </w:lvl>
  </w:abstractNum>
  <w:abstractNum w:abstractNumId="17">
    <w:nsid w:val="275AC794"/>
    <w:multiLevelType w:val="hybridMultilevel"/>
    <w:lvl w:ilvl="0">
      <w:lvlJc w:val="left"/>
      <w:lvlText w:val="(%1)"/>
      <w:numFmt w:val="decimal"/>
      <w:start w:val="1"/>
    </w:lvl>
  </w:abstractNum>
  <w:abstractNum w:abstractNumId="18">
    <w:nsid w:val="39386575"/>
    <w:multiLevelType w:val="hybridMultilevel"/>
    <w:lvl w:ilvl="0">
      <w:lvlJc w:val="left"/>
      <w:lvlText w:val="(%1)"/>
      <w:numFmt w:val="decimal"/>
      <w:start w:val="2"/>
    </w:lvl>
  </w:abstractNum>
  <w:abstractNum w:abstractNumId="19">
    <w:nsid w:val="1CF10FD8"/>
    <w:multiLevelType w:val="hybridMultilevel"/>
    <w:lvl w:ilvl="0">
      <w:lvlJc w:val="left"/>
      <w:lvlText w:val="(%1)"/>
      <w:numFmt w:val="decimal"/>
      <w:start w:val="3"/>
    </w:lvl>
  </w:abstractNum>
  <w:abstractNum w:abstractNumId="20">
    <w:nsid w:val="180115BE"/>
    <w:multiLevelType w:val="hybridMultilevel"/>
    <w:lvl w:ilvl="0">
      <w:lvlJc w:val="left"/>
      <w:lvlText w:val="(%1)"/>
      <w:numFmt w:val="decimal"/>
      <w:start w:val="4"/>
    </w:lvl>
  </w:abstractNum>
  <w:abstractNum w:abstractNumId="21">
    <w:nsid w:val="235BA861"/>
    <w:multiLevelType w:val="hybridMultilevel"/>
    <w:lvl w:ilvl="0">
      <w:lvlJc w:val="left"/>
      <w:lvlText w:val="(%1)"/>
      <w:numFmt w:val="decimal"/>
      <w:start w:val="5"/>
    </w:lvl>
  </w:abstractNum>
  <w:abstractNum w:abstractNumId="22">
    <w:nsid w:val="47398C89"/>
    <w:multiLevelType w:val="hybridMultilevel"/>
    <w:lvl w:ilvl="0">
      <w:lvlJc w:val="left"/>
      <w:lvlText w:val="(%1)"/>
      <w:numFmt w:val="decimal"/>
      <w:start w:val="6"/>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2"/>
    </w:lvl>
  </w:abstractNum>
  <w:abstractNum w:abstractNumId="25">
    <w:nsid w:val="741226BB"/>
    <w:multiLevelType w:val="hybridMultilevel"/>
    <w:lvl w:ilvl="0">
      <w:lvlJc w:val="left"/>
      <w:lvlText w:val="(%1)"/>
      <w:numFmt w:val="decimal"/>
      <w:start w:val="3"/>
    </w:lvl>
  </w:abstractNum>
  <w:abstractNum w:abstractNumId="26">
    <w:nsid w:val="D34B6A8"/>
    <w:multiLevelType w:val="hybridMultilevel"/>
    <w:lvl w:ilvl="0">
      <w:lvlJc w:val="left"/>
      <w:lvlText w:val="(%1)"/>
      <w:numFmt w:val="decimal"/>
      <w:start w:val="4"/>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decimal"/>
      <w:start w:val="2"/>
    </w:lvl>
  </w:abstractNum>
  <w:abstractNum w:abstractNumId="29">
    <w:nsid w:val="61574095"/>
    <w:multiLevelType w:val="hybridMultilevel"/>
    <w:lvl w:ilvl="0">
      <w:lvlJc w:val="left"/>
      <w:lvlText w:val="(%1)"/>
      <w:numFmt w:val="decimal"/>
      <w:start w:val="3"/>
    </w:lvl>
  </w:abstractNum>
  <w:abstractNum w:abstractNumId="30">
    <w:nsid w:val="7E0C57B1"/>
    <w:multiLevelType w:val="hybridMultilevel"/>
    <w:lvl w:ilvl="0">
      <w:lvlJc w:val="left"/>
      <w:lvlText w:val="(%1)"/>
      <w:numFmt w:val="decimal"/>
      <w:start w:val="4"/>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2"/>
    </w:lvl>
  </w:abstractNum>
  <w:abstractNum w:abstractNumId="33">
    <w:nsid w:val="310C50B3"/>
    <w:multiLevelType w:val="hybridMultilevel"/>
    <w:lvl w:ilvl="0">
      <w:lvlJc w:val="left"/>
      <w:lvlText w:val="(%1)"/>
      <w:numFmt w:val="decimal"/>
      <w:start w:val="4"/>
    </w:lvl>
  </w:abstractNum>
  <w:abstractNum w:abstractNumId="34">
    <w:nsid w:val="5FF87E05"/>
    <w:multiLevelType w:val="hybridMultilevel"/>
    <w:lvl w:ilvl="0">
      <w:lvlJc w:val="left"/>
      <w:lvlText w:val="(%1)"/>
      <w:numFmt w:val="decimal"/>
      <w:start w:val="5"/>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1)"/>
      <w:numFmt w:val="decimal"/>
      <w:start w:val="6"/>
    </w:lvl>
  </w:abstractNum>
  <w:abstractNum w:abstractNumId="37">
    <w:nsid w:val="1DBABF00"/>
    <w:multiLevelType w:val="hybridMultilevel"/>
    <w:lvl w:ilvl="0">
      <w:lvlJc w:val="left"/>
      <w:lvlText w:val="(%1)"/>
      <w:numFmt w:val="decimal"/>
      <w:start w:val="7"/>
    </w:lvl>
  </w:abstractNum>
  <w:abstractNum w:abstractNumId="38">
    <w:nsid w:val="4AD084E9"/>
    <w:multiLevelType w:val="hybridMultilevel"/>
    <w:lvl w:ilvl="0">
      <w:lvlJc w:val="left"/>
      <w:lvlText w:val="(%1)"/>
      <w:numFmt w:val="lowerLetter"/>
      <w:start w:val="2"/>
    </w:lvl>
  </w:abstractNum>
  <w:abstractNum w:abstractNumId="39">
    <w:nsid w:val="1F48EAA1"/>
    <w:multiLevelType w:val="hybridMultilevel"/>
    <w:lvl w:ilvl="0">
      <w:lvlJc w:val="left"/>
      <w:lvlText w:val="(%1)"/>
      <w:numFmt w:val="lowerRoman"/>
      <w:start w:val="1"/>
    </w:lvl>
  </w:abstractNum>
  <w:abstractNum w:abstractNumId="40">
    <w:nsid w:val="1381823A"/>
    <w:multiLevelType w:val="hybridMultilevel"/>
    <w:lvl w:ilvl="0">
      <w:lvlJc w:val="left"/>
      <w:lvlText w:val="(%1)"/>
      <w:numFmt w:val="lowerRoman"/>
      <w:start w:val="2"/>
    </w:lvl>
  </w:abstractNum>
  <w:abstractNum w:abstractNumId="41">
    <w:nsid w:val="5DB70AE5"/>
    <w:multiLevelType w:val="hybridMultilevel"/>
    <w:lvl w:ilvl="0">
      <w:lvlJc w:val="left"/>
      <w:lvlText w:val="(%1)"/>
      <w:numFmt w:val="lowerRoman"/>
      <w:start w:val="1"/>
    </w:lvl>
  </w:abstractNum>
  <w:abstractNum w:abstractNumId="42">
    <w:nsid w:val="100F8FCA"/>
    <w:multiLevelType w:val="hybridMultilevel"/>
    <w:lvl w:ilvl="0">
      <w:lvlJc w:val="left"/>
      <w:lvlText w:val="(%1)"/>
      <w:numFmt w:val="lowerRoman"/>
      <w:start w:val="2"/>
    </w:lvl>
  </w:abstractNum>
  <w:abstractNum w:abstractNumId="43">
    <w:nsid w:val="6590700B"/>
    <w:multiLevelType w:val="hybridMultilevel"/>
    <w:lvl w:ilvl="0">
      <w:lvlJc w:val="left"/>
      <w:lvlText w:val="(%1)"/>
      <w:numFmt w:val="lowerRoman"/>
      <w:start w:val="3"/>
    </w:lvl>
  </w:abstractNum>
  <w:abstractNum w:abstractNumId="44">
    <w:nsid w:val="15014ACB"/>
    <w:multiLevelType w:val="hybridMultilevel"/>
    <w:lvl w:ilvl="0">
      <w:lvlJc w:val="left"/>
      <w:lvlText w:val="(%1)"/>
      <w:numFmt w:val="upperLetter"/>
      <w:start w:val="1"/>
    </w:lvl>
  </w:abstractNum>
  <w:abstractNum w:abstractNumId="45">
    <w:nsid w:val="5F5E7FD0"/>
    <w:multiLevelType w:val="hybridMultilevel"/>
    <w:lvl w:ilvl="0">
      <w:lvlJc w:val="left"/>
      <w:lvlText w:val="(%1)"/>
      <w:numFmt w:val="upperLetter"/>
      <w:start w:val="2"/>
    </w:lvl>
  </w:abstractNum>
  <w:abstractNum w:abstractNumId="46">
    <w:nsid w:val="98A3148"/>
    <w:multiLevelType w:val="hybridMultilevel"/>
    <w:lvl w:ilvl="0">
      <w:lvlJc w:val="left"/>
      <w:lvlText w:val="(%1)"/>
      <w:numFmt w:val="upperLetter"/>
      <w:start w:val="3"/>
    </w:lvl>
  </w:abstractNum>
  <w:abstractNum w:abstractNumId="47">
    <w:nsid w:val="799D0247"/>
    <w:multiLevelType w:val="hybridMultilevel"/>
    <w:lvl w:ilvl="0">
      <w:lvlJc w:val="left"/>
      <w:lvlText w:val="(%1)"/>
      <w:numFmt w:val="upperLetter"/>
      <w:start w:val="4"/>
    </w:lvl>
  </w:abstractNum>
  <w:abstractNum w:abstractNumId="48">
    <w:nsid w:val="6B94764"/>
    <w:multiLevelType w:val="hybridMultilevel"/>
    <w:lvl w:ilvl="0">
      <w:lvlJc w:val="left"/>
      <w:lvlText w:val="(%1)"/>
      <w:numFmt w:val="lowerRoman"/>
      <w:start w:val="1"/>
    </w:lvl>
  </w:abstractNum>
  <w:abstractNum w:abstractNumId="49">
    <w:nsid w:val="42C296BD"/>
    <w:multiLevelType w:val="hybridMultilevel"/>
    <w:lvl w:ilvl="0">
      <w:lvlJc w:val="left"/>
      <w:lvlText w:val="(%1)"/>
      <w:numFmt w:val="lowerRoman"/>
      <w:start w:val="2"/>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1)"/>
      <w:numFmt w:val="decimal"/>
      <w:start w:val="2"/>
    </w:lvl>
  </w:abstractNum>
  <w:abstractNum w:abstractNumId="52">
    <w:nsid w:val="661E3F1E"/>
    <w:multiLevelType w:val="hybridMultilevel"/>
    <w:lvl w:ilvl="0">
      <w:lvlJc w:val="left"/>
      <w:lvlText w:val="(%1)"/>
      <w:numFmt w:val="decimal"/>
      <w:start w:val="3"/>
    </w:lvl>
  </w:abstractNum>
  <w:abstractNum w:abstractNumId="53">
    <w:nsid w:val="5DC79EA8"/>
    <w:multiLevelType w:val="hybridMultilevel"/>
    <w:lvl w:ilvl="0">
      <w:lvlJc w:val="left"/>
      <w:lvlText w:val="(%1)"/>
      <w:numFmt w:val="decimal"/>
      <w:start w:val="4"/>
    </w:lvl>
  </w:abstractNum>
  <w:abstractNum w:abstractNumId="54">
    <w:nsid w:val="540A471C"/>
    <w:multiLevelType w:val="hybridMultilevel"/>
    <w:lvl w:ilvl="0">
      <w:lvlJc w:val="left"/>
      <w:lvlText w:val="(%1)"/>
      <w:numFmt w:val="decimal"/>
      <w:start w:val="5"/>
    </w:lvl>
  </w:abstractNum>
  <w:abstractNum w:abstractNumId="55">
    <w:nsid w:val="7BD3EE7B"/>
    <w:multiLevelType w:val="hybridMultilevel"/>
    <w:lvl w:ilvl="0">
      <w:lvlJc w:val="left"/>
      <w:lvlText w:val="(%1)"/>
      <w:numFmt w:val="decimal"/>
      <w:start w:val="6"/>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decimal"/>
      <w:start w:val="2"/>
    </w:lvl>
  </w:abstractNum>
  <w:abstractNum w:abstractNumId="58">
    <w:nsid w:val="BF72B14"/>
    <w:multiLevelType w:val="hybridMultilevel"/>
    <w:lvl w:ilvl="0">
      <w:lvlJc w:val="left"/>
      <w:lvlText w:val="(%1)"/>
      <w:numFmt w:val="decimal"/>
      <w:start w:val="3"/>
    </w:lvl>
  </w:abstractNum>
  <w:abstractNum w:abstractNumId="59">
    <w:nsid w:val="11447B73"/>
    <w:multiLevelType w:val="hybridMultilevel"/>
    <w:lvl w:ilvl="0">
      <w:lvlJc w:val="left"/>
      <w:lvlText w:val="(%1)"/>
      <w:numFmt w:val="decimal"/>
      <w:start w:val="4"/>
    </w:lvl>
  </w:abstractNum>
  <w:abstractNum w:abstractNumId="60">
    <w:nsid w:val="42963E5A"/>
    <w:multiLevelType w:val="hybridMultilevel"/>
    <w:lvl w:ilvl="0">
      <w:lvlJc w:val="left"/>
      <w:lvlText w:val="(%1)"/>
      <w:numFmt w:val="decimal"/>
      <w:start w:val="5"/>
    </w:lvl>
  </w:abstractNum>
  <w:abstractNum w:abstractNumId="61">
    <w:nsid w:val="A0382C5"/>
    <w:multiLevelType w:val="hybridMultilevel"/>
    <w:lvl w:ilvl="0">
      <w:lvlJc w:val="left"/>
      <w:lvlText w:val="(%1)"/>
      <w:numFmt w:val="decimal"/>
      <w:start w:val="6"/>
    </w:lvl>
  </w:abstractNum>
  <w:abstractNum w:abstractNumId="62">
    <w:nsid w:val="8F2B15E"/>
    <w:multiLevelType w:val="hybridMultilevel"/>
    <w:lvl w:ilvl="0">
      <w:lvlJc w:val="left"/>
      <w:lvlText w:val="(%1)"/>
      <w:numFmt w:val="decimal"/>
      <w:start w:val="7"/>
    </w:lvl>
  </w:abstractNum>
  <w:abstractNum w:abstractNumId="63">
    <w:nsid w:val="1A32234B"/>
    <w:multiLevelType w:val="hybridMultilevel"/>
    <w:lvl w:ilvl="0">
      <w:lvlJc w:val="left"/>
      <w:lvlText w:val="(%1)"/>
      <w:numFmt w:val="decimal"/>
      <w:start w:val="8"/>
    </w:lvl>
  </w:abstractNum>
  <w:abstractNum w:abstractNumId="64">
    <w:nsid w:val="3B0FD379"/>
    <w:multiLevelType w:val="hybridMultilevel"/>
    <w:lvl w:ilvl="0">
      <w:lvlJc w:val="left"/>
      <w:lvlText w:val="(%1)"/>
      <w:numFmt w:val="decimal"/>
      <w:start w:val="9"/>
    </w:lvl>
  </w:abstractNum>
  <w:abstractNum w:abstractNumId="65">
    <w:nsid w:val="68EB2F63"/>
    <w:multiLevelType w:val="hybridMultilevel"/>
    <w:lvl w:ilvl="0">
      <w:lvlJc w:val="left"/>
      <w:lvlText w:val="(%1)"/>
      <w:numFmt w:val="decimal"/>
      <w:start w:val="10"/>
    </w:lvl>
  </w:abstractNum>
  <w:abstractNum w:abstractNumId="66">
    <w:nsid w:val="4962813B"/>
    <w:multiLevelType w:val="hybridMultilevel"/>
    <w:lvl w:ilvl="0">
      <w:lvlJc w:val="left"/>
      <w:lvlText w:val="(%1)"/>
      <w:numFmt w:val="decimal"/>
      <w:start w:val="1"/>
    </w:lvl>
  </w:abstractNum>
  <w:abstractNum w:abstractNumId="67">
    <w:nsid w:val="60B6DF70"/>
    <w:multiLevelType w:val="hybridMultilevel"/>
    <w:lvl w:ilvl="0">
      <w:lvlJc w:val="left"/>
      <w:lvlText w:val="(%1)"/>
      <w:numFmt w:val="decimal"/>
      <w:start w:val="2"/>
    </w:lvl>
  </w:abstractNum>
  <w:abstractNum w:abstractNumId="68">
    <w:nsid w:val="6A5EE64"/>
    <w:multiLevelType w:val="hybridMultilevel"/>
    <w:lvl w:ilvl="0">
      <w:lvlJc w:val="left"/>
      <w:lvlText w:val="(%1)"/>
      <w:numFmt w:val="decimal"/>
      <w:start w:val="1"/>
    </w:lvl>
  </w:abstractNum>
  <w:abstractNum w:abstractNumId="69">
    <w:nsid w:val="14330624"/>
    <w:multiLevelType w:val="hybridMultilevel"/>
    <w:lvl w:ilvl="0">
      <w:lvlJc w:val="left"/>
      <w:lvlText w:val="(%1)"/>
      <w:numFmt w:val="decimal"/>
      <w:start w:val="2"/>
    </w:lvl>
  </w:abstractNum>
  <w:abstractNum w:abstractNumId="70">
    <w:nsid w:val="7FFFCA11"/>
    <w:multiLevelType w:val="hybridMultilevel"/>
    <w:lvl w:ilvl="0">
      <w:lvlJc w:val="left"/>
      <w:lvlText w:val="(%1)"/>
      <w:numFmt w:val="decimal"/>
      <w:start w:val="3"/>
    </w:lvl>
  </w:abstractNum>
  <w:abstractNum w:abstractNumId="71">
    <w:nsid w:val="1A27709E"/>
    <w:multiLevelType w:val="hybridMultilevel"/>
    <w:lvl w:ilvl="0">
      <w:lvlJc w:val="left"/>
      <w:lvlText w:val="(%1)"/>
      <w:numFmt w:val="decimal"/>
      <w:start w:val="4"/>
    </w:lvl>
  </w:abstractNum>
  <w:abstractNum w:abstractNumId="72">
    <w:nsid w:val="71EA1109"/>
    <w:multiLevelType w:val="hybridMultilevel"/>
    <w:lvl w:ilvl="0">
      <w:lvlJc w:val="left"/>
      <w:lvlText w:val="1"/>
      <w:numFmt w:val="bullet"/>
      <w:start w:val="1"/>
    </w:lvl>
  </w:abstractNum>
  <w:abstractNum w:abstractNumId="73">
    <w:nsid w:val="100F59DC"/>
    <w:multiLevelType w:val="hybridMultilevel"/>
    <w:lvl w:ilvl="0">
      <w:lvlJc w:val="left"/>
      <w:lvlText w:val="2"/>
      <w:numFmt w:val="bullet"/>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2"/>
    </w:lvl>
  </w:abstractNum>
  <w:abstractNum w:abstractNumId="76">
    <w:nsid w:val="6F6DD9AC"/>
    <w:multiLevelType w:val="hybridMultilevel"/>
    <w:lvl w:ilvl="0">
      <w:lvlJc w:val="left"/>
      <w:lvlText w:val="%1."/>
      <w:numFmt w:val="decimal"/>
      <w:start w:val="3"/>
    </w:lvl>
  </w:abstractNum>
  <w:abstractNum w:abstractNumId="77">
    <w:nsid w:val="94211F2"/>
    <w:multiLevelType w:val="hybridMultilevel"/>
    <w:lvl w:ilvl="0">
      <w:lvlJc w:val="left"/>
      <w:lvlText w:val="%1."/>
      <w:numFmt w:val="decimal"/>
      <w:start w:val="5"/>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2"/>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1)"/>
      <w:numFmt w:val="decimal"/>
      <w:start w:val="2"/>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decimal"/>
      <w:start w:val="6"/>
    </w:lvl>
  </w:abstractNum>
  <w:abstractNum w:abstractNumId="84">
    <w:nsid w:val="74DE0EE3"/>
    <w:multiLevelType w:val="hybridMultilevel"/>
    <w:lvl w:ilvl="0">
      <w:lvlJc w:val="left"/>
      <w:lvlText w:val="%1."/>
      <w:numFmt w:val="decimal"/>
      <w:start w:val="8"/>
    </w:lvl>
  </w:abstractNum>
  <w:abstractNum w:abstractNumId="85">
    <w:nsid w:val="68EBC550"/>
    <w:multiLevelType w:val="hybridMultilevel"/>
    <w:lvl w:ilvl="0">
      <w:lvlJc w:val="left"/>
      <w:lvlText w:val="%1."/>
      <w:numFmt w:val="decimal"/>
      <w:start w:val="9"/>
    </w:lvl>
  </w:abstractNum>
  <w:abstractNum w:abstractNumId="86">
    <w:nsid w:val="2DF6D648"/>
    <w:multiLevelType w:val="hybridMultilevel"/>
    <w:lvl w:ilvl="0">
      <w:lvlJc w:val="left"/>
      <w:lvlText w:val="%1."/>
      <w:numFmt w:val="decimal"/>
      <w:start w:val="11"/>
    </w:lvl>
  </w:abstractNum>
  <w:abstractNum w:abstractNumId="87">
    <w:nsid w:val="46B7D447"/>
    <w:multiLevelType w:val="hybridMultilevel"/>
    <w:lvl w:ilvl="0">
      <w:lvlJc w:val="left"/>
      <w:lvlText w:val="%1."/>
      <w:numFmt w:val="decimal"/>
      <w:start w:val="13"/>
    </w:lvl>
  </w:abstractNum>
  <w:abstractNum w:abstractNumId="88">
    <w:nsid w:val="4A2AC315"/>
    <w:multiLevelType w:val="hybridMultilevel"/>
    <w:lvl w:ilvl="0">
      <w:lvlJc w:val="left"/>
      <w:lvlText w:val="%1."/>
      <w:numFmt w:val="decimal"/>
      <w:start w:val="14"/>
    </w:lvl>
  </w:abstractNum>
  <w:abstractNum w:abstractNumId="89">
    <w:nsid w:val="39EE015C"/>
    <w:multiLevelType w:val="hybridMultilevel"/>
    <w:lvl w:ilvl="0">
      <w:lvlJc w:val="left"/>
      <w:lvlText w:val="%1."/>
      <w:numFmt w:val="decimal"/>
      <w:start w:val="16"/>
    </w:lvl>
  </w:abstractNum>
  <w:abstractNum w:abstractNumId="90">
    <w:nsid w:val="57FC4FBB"/>
    <w:multiLevelType w:val="hybridMultilevel"/>
    <w:lvl w:ilvl="0">
      <w:lvlJc w:val="left"/>
      <w:lvlText w:val="%1."/>
      <w:numFmt w:val="decimal"/>
      <w:start w:val="18"/>
    </w:lvl>
  </w:abstractNum>
  <w:abstractNum w:abstractNumId="91">
    <w:nsid w:val="CC1016F"/>
    <w:multiLevelType w:val="hybridMultilevel"/>
    <w:lvl w:ilvl="0">
      <w:lvlJc w:val="left"/>
      <w:lvlText w:val="%1."/>
      <w:numFmt w:val="decimal"/>
      <w:start w:val="20"/>
    </w:lvl>
  </w:abstractNum>
  <w:abstractNum w:abstractNumId="92">
    <w:nsid w:val="43F18422"/>
    <w:multiLevelType w:val="hybridMultilevel"/>
    <w:lvl w:ilvl="0">
      <w:lvlJc w:val="left"/>
      <w:lvlText w:val="%1."/>
      <w:numFmt w:val="decimal"/>
      <w:start w:val="22"/>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2026-05-18T15:13:01Z</dcterms:created>
  <dcterms:modified xsi:type="dcterms:W3CDTF">2026-05-18T15:13:01Z</dcterms:modified>
</cp:coreProperties>
</file>