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rFonts w:ascii="Times New Roman;Times;serif" w:hAnsi="Times New Roman;Times;serif"/>
          <w:b/>
          <w:sz w:val="34"/>
          <w:bdr w:val="single" w:sz="24" w:space="1" w:color="000000"/>
        </w:rPr>
      </w:pPr>
      <w:bookmarkStart w:id="0" w:name="_aa33073b_fcb5_4770_ace6_c39a11082f83"/>
      <w:bookmarkStart w:id="1" w:name="oi-20260630x10q.htm"/>
      <w:bookmarkStart w:id="2" w:name="ksoi20260630x10q"/>
      <w:bookmarkEnd w:id="0"/>
      <w:bookmarkEnd w:id="1"/>
      <w:bookmarkEnd w:id="2"/>
      <w:r>
        <w:rPr>
          <w:rFonts w:ascii="Times New Roman;Times;serif" w:hAnsi="Times New Roman;Times;serif"/>
          <w:b/>
          <w:sz w:val="34"/>
          <w:bdr w:val="single" w:sz="24" w:space="1" w:color="000000"/>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(Mark one)</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240" w:after="40"/>
              <w:jc w:val="left"/>
              <w:rPr/>
            </w:pPr>
            <w:r>
              <w:rPr/>
              <w:t>☒</w:t>
            </w:r>
          </w:p>
        </w:tc>
        <w:tc>
          <w:tcPr>
            <w:tcW w:w="9765" w:type="dxa"/>
            <w:tcBorders/>
            <w:vAlign w:val="center"/>
          </w:tcPr>
          <w:p>
            <w:pPr>
              <w:pStyle w:val="TableContents"/>
              <w:bidi w:val="0"/>
              <w:spacing w:before="240" w:after="4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June 30, 2026</w:t>
      </w:r>
    </w:p>
    <w:p>
      <w:pPr>
        <w:pStyle w:val="TextBody"/>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40"/>
              <w:jc w:val="left"/>
              <w:rPr/>
            </w:pPr>
            <w:r>
              <w:rPr/>
              <w:t>☐</w:t>
            </w:r>
          </w:p>
        </w:tc>
        <w:tc>
          <w:tcPr>
            <w:tcW w:w="9765" w:type="dxa"/>
            <w:tcBorders/>
            <w:vAlign w:val="center"/>
          </w:tcPr>
          <w:p>
            <w:pPr>
              <w:pStyle w:val="TableContents"/>
              <w:bidi w:val="0"/>
              <w:spacing w:before="0" w:after="4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 xml:space="preserve">For the transition period from to </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Commission file number 1-9576</w:t>
      </w:r>
    </w:p>
    <w:p>
      <w:pPr>
        <w:pStyle w:val="TextBody"/>
        <w:bidi w:val="0"/>
        <w:spacing w:before="0" w:after="60"/>
        <w:ind w:left="0" w:right="0" w:hanging="0"/>
        <w:jc w:val="center"/>
        <w:rPr/>
      </w:pPr>
      <w:r>
        <w:rPr/>
        <w:drawing>
          <wp:inline distT="0" distB="0" distL="0" distR="0">
            <wp:extent cx="1273810" cy="855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3810" cy="855345"/>
                    </a:xfrm>
                    <a:prstGeom prst="rect">
                      <a:avLst/>
                    </a:prstGeom>
                  </pic:spPr>
                </pic:pic>
              </a:graphicData>
            </a:graphic>
          </wp:inline>
        </w:drawing>
      </w:r>
      <w:r>
        <w:rPr/>
        <w:t xml:space="preserve"> </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O-I GLASS, INC.</w:t>
      </w:r>
    </w:p>
    <w:p>
      <w:pPr>
        <w:pStyle w:val="TextBody"/>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St5dlfSizU2Ra8_vtwLFWA_4_2"/>
      <w:bookmarkStart w:id="4" w:name="Tc_FWGgcXYz6063Da1F63O6Tw_4_0"/>
      <w:bookmarkStart w:id="5" w:name="Tc_omLF0yK6jkeBnP0cnSdkZQ_3_2"/>
      <w:bookmarkStart w:id="6" w:name="Tc_hD_cpEqWK0G9Qwy1Tg4ehw_3_0"/>
      <w:bookmarkStart w:id="7" w:name="_408faed3_57d7_4c98_ba0e_40e97c28a642"/>
      <w:bookmarkStart w:id="8" w:name="Tc_St5dlfSizU2Ra8_vtwLFWA_4_2"/>
      <w:bookmarkStart w:id="9" w:name="Tc_FWGgcXYz6063Da1F63O6Tw_4_0"/>
      <w:bookmarkStart w:id="10" w:name="Tc_omLF0yK6jkeBnP0cnSdkZQ_3_2"/>
      <w:bookmarkStart w:id="11" w:name="Tc_hD_cpEqWK0G9Qwy1Tg4ehw_3_0"/>
      <w:bookmarkStart w:id="12" w:name="_408faed3_57d7_4c98_ba0e_40e97c28a642"/>
      <w:bookmarkEnd w:id="8"/>
      <w:bookmarkEnd w:id="9"/>
      <w:bookmarkEnd w:id="10"/>
      <w:bookmarkEnd w:id="11"/>
      <w:bookmarkEnd w:id="12"/>
    </w:p>
    <w:tbl>
      <w:tblPr>
        <w:tblW w:w="3801" w:type="dxa"/>
        <w:jc w:val="left"/>
        <w:tblInd w:w="0" w:type="dxa"/>
        <w:tblLayout w:type="fixed"/>
        <w:tblCellMar>
          <w:top w:w="0" w:type="dxa"/>
          <w:left w:w="0" w:type="dxa"/>
          <w:bottom w:w="0" w:type="dxa"/>
          <w:right w:w="0" w:type="dxa"/>
        </w:tblCellMar>
      </w:tblPr>
      <w:tblGrid>
        <w:gridCol w:w="2236"/>
        <w:gridCol w:w="109"/>
        <w:gridCol w:w="1456"/>
      </w:tblGrid>
      <w:tr>
        <w:trPr/>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lineRule="atLeast" w:line="142" w:before="0" w:after="0"/>
              <w:ind w:left="0" w:right="0" w:hanging="0"/>
              <w:jc w:val="left"/>
              <w:rPr/>
            </w:pPr>
            <w:r>
              <w:rPr/>
              <w:t>​</w:t>
            </w:r>
          </w:p>
        </w:tc>
        <w:tc>
          <w:tcPr>
            <w:tcW w:w="109" w:type="dxa"/>
            <w:tcBorders/>
            <w:vAlign w:val="center"/>
          </w:tcPr>
          <w:p>
            <w:pPr>
              <w:pStyle w:val="TableContents"/>
              <w:bidi w:val="0"/>
              <w:spacing w:lineRule="atLeast" w:line="142" w:before="0" w:after="0"/>
              <w:ind w:left="0" w:right="0" w:hanging="0"/>
              <w:jc w:val="left"/>
              <w:rPr/>
            </w:pPr>
            <w:r>
              <w:rPr/>
              <w:t>​</w:t>
            </w:r>
          </w:p>
        </w:tc>
        <w:tc>
          <w:tcPr>
            <w:tcW w:w="1456" w:type="dxa"/>
            <w:tcBorders/>
            <w:vAlign w:val="center"/>
          </w:tcPr>
          <w:p>
            <w:pPr>
              <w:pStyle w:val="TableContents"/>
              <w:bidi w:val="0"/>
              <w:spacing w:lineRule="atLeast" w:line="142" w:before="0" w:after="0"/>
              <w:ind w:left="0" w:right="0" w:hanging="0"/>
              <w:jc w:val="left"/>
              <w:rPr/>
            </w:pPr>
            <w:r>
              <w:rPr/>
              <w:t>​</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22-2781933</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 w:name="Tc_5YwrH_5n90uOK8s3837ysw_2_2"/>
      <w:bookmarkStart w:id="14" w:name="Tc_o1C0JASikECUp3pQvGQlXg_2_0"/>
      <w:bookmarkStart w:id="15" w:name="Tc_PLxR-kTYoUGmeBcQ5MABhQ_1_0"/>
      <w:bookmarkStart w:id="16" w:name="_09c25431_02f5_4ab4_a6af_d662afee038d"/>
      <w:bookmarkStart w:id="17" w:name="Tc_5YwrH_5n90uOK8s3837ysw_2_2"/>
      <w:bookmarkStart w:id="18" w:name="Tc_o1C0JASikECUp3pQvGQlXg_2_0"/>
      <w:bookmarkStart w:id="19" w:name="Tc_PLxR-kTYoUGmeBcQ5MABhQ_1_0"/>
      <w:bookmarkStart w:id="20" w:name="_09c25431_02f5_4ab4_a6af_d662afee038d"/>
      <w:bookmarkEnd w:id="17"/>
      <w:bookmarkEnd w:id="18"/>
      <w:bookmarkEnd w:id="19"/>
      <w:bookmarkEnd w:id="20"/>
    </w:p>
    <w:tbl>
      <w:tblPr>
        <w:tblW w:w="4521" w:type="dxa"/>
        <w:jc w:val="left"/>
        <w:tblInd w:w="0" w:type="dxa"/>
        <w:tblLayout w:type="fixed"/>
        <w:tblCellMar>
          <w:top w:w="0" w:type="dxa"/>
          <w:left w:w="0" w:type="dxa"/>
          <w:bottom w:w="0" w:type="dxa"/>
          <w:right w:w="0" w:type="dxa"/>
        </w:tblCellMar>
      </w:tblPr>
      <w:tblGrid>
        <w:gridCol w:w="3481"/>
        <w:gridCol w:w="109"/>
        <w:gridCol w:w="931"/>
      </w:tblGrid>
      <w:tr>
        <w:trPr/>
        <w:tc>
          <w:tcPr>
            <w:tcW w:w="3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One Michael Owens Way, Perrysburg, Ohio</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43551</w:t>
            </w:r>
          </w:p>
        </w:tc>
      </w:tr>
      <w:tr>
        <w:trPr/>
        <w:tc>
          <w:tcPr>
            <w:tcW w:w="3481"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60" w:after="6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(567) 336-5000</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Normal"/>
        <w:bidi w:val="0"/>
        <w:spacing w:before="0" w:after="0"/>
        <w:jc w:val="left"/>
        <w:rPr>
          <w:sz w:val="4"/>
          <w:szCs w:val="4"/>
        </w:rPr>
      </w:pPr>
      <w:r>
        <w:rPr>
          <w:sz w:val="4"/>
          <w:szCs w:val="4"/>
        </w:rPr>
      </w:r>
      <w:bookmarkStart w:id="21" w:name="Tc_w8TXMeKRbEKU1SBZAHgmIA_0_2"/>
      <w:bookmarkStart w:id="22" w:name="Tc_fQEWeRCn8UCqHYwnPFl3mw_0_1"/>
      <w:bookmarkStart w:id="23" w:name="Tc_YqnS1AJ0dUi4RE4Qq33dTg_0_0"/>
      <w:bookmarkStart w:id="24" w:name="_d923928a_99ff_4fc8_995b_06ee2850b414"/>
      <w:bookmarkStart w:id="25" w:name="Tc_w8TXMeKRbEKU1SBZAHgmIA_0_2"/>
      <w:bookmarkStart w:id="26" w:name="Tc_fQEWeRCn8UCqHYwnPFl3mw_0_1"/>
      <w:bookmarkStart w:id="27" w:name="Tc_YqnS1AJ0dUi4RE4Qq33dTg_0_0"/>
      <w:bookmarkStart w:id="28" w:name="_d923928a_99ff_4fc8_995b_06ee2850b414"/>
      <w:bookmarkEnd w:id="25"/>
      <w:bookmarkEnd w:id="26"/>
      <w:bookmarkEnd w:id="27"/>
      <w:bookmarkEnd w:id="28"/>
    </w:p>
    <w:tbl>
      <w:tblPr>
        <w:tblW w:w="7833" w:type="dxa"/>
        <w:jc w:val="left"/>
        <w:tblInd w:w="0" w:type="dxa"/>
        <w:tblLayout w:type="fixed"/>
        <w:tblCellMar>
          <w:top w:w="28" w:type="dxa"/>
          <w:left w:w="0" w:type="dxa"/>
          <w:bottom w:w="28" w:type="dxa"/>
          <w:right w:w="28" w:type="dxa"/>
        </w:tblCellMar>
      </w:tblPr>
      <w:tblGrid>
        <w:gridCol w:w="3016"/>
        <w:gridCol w:w="1336"/>
        <w:gridCol w:w="3481"/>
      </w:tblGrid>
      <w:tr>
        <w:trPr/>
        <w:tc>
          <w:tcPr>
            <w:tcW w:w="3016" w:type="dxa"/>
            <w:tcBorders>
              <w:top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336" w:type="dxa"/>
            <w:tcBorders>
              <w:top w:val="single" w:sz="2" w:space="0" w:color="000000"/>
              <w:left w:val="single" w:sz="2" w:space="0" w:color="000000"/>
              <w:bottom w:val="single" w:sz="2" w:space="0" w:color="000000"/>
              <w:righ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3481" w:type="dxa"/>
            <w:tcBorders>
              <w:top w:val="single" w:sz="2" w:space="0" w:color="000000"/>
              <w:left w:val="single" w:sz="2" w:space="0" w:color="000000"/>
              <w:bottom w:val="single" w:sz="2" w:space="0" w:color="000000"/>
            </w:tcBorders>
            <w:tcMar>
              <w:left w:w="28" w:type="dxa"/>
              <w:right w:w="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016" w:type="dxa"/>
            <w:tcBorders>
              <w:top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$.01 per share</w:t>
            </w:r>
          </w:p>
        </w:tc>
        <w:tc>
          <w:tcPr>
            <w:tcW w:w="1336" w:type="dxa"/>
            <w:tcBorders>
              <w:top w:val="single" w:sz="2" w:space="0" w:color="000000"/>
              <w:left w:val="single" w:sz="2" w:space="0" w:color="000000"/>
              <w:bottom w:val="single" w:sz="2" w:space="0" w:color="000000"/>
              <w:righ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OI</w:t>
            </w:r>
          </w:p>
        </w:tc>
        <w:tc>
          <w:tcPr>
            <w:tcW w:w="3481" w:type="dxa"/>
            <w:tcBorders>
              <w:top w:val="single" w:sz="2" w:space="0" w:color="000000"/>
              <w:left w:val="single" w:sz="2" w:space="0" w:color="000000"/>
              <w:bottom w:val="single" w:sz="2" w:space="0" w:color="000000"/>
            </w:tcBorders>
            <w:tcMar>
              <w:left w:w="28" w:type="dxa"/>
              <w:right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63" w:type="dxa"/>
        <w:jc w:val="left"/>
        <w:tblInd w:w="0" w:type="dxa"/>
        <w:tblLayout w:type="fixed"/>
        <w:tblCellMar>
          <w:top w:w="0" w:type="dxa"/>
          <w:left w:w="0" w:type="dxa"/>
          <w:bottom w:w="0" w:type="dxa"/>
          <w:right w:w="0" w:type="dxa"/>
        </w:tblCellMar>
      </w:tblPr>
      <w:tblGrid>
        <w:gridCol w:w="2266"/>
        <w:gridCol w:w="2266"/>
        <w:gridCol w:w="1831"/>
      </w:tblGrid>
      <w:tr>
        <w:trPr/>
        <w:tc>
          <w:tcPr>
            <w:tcW w:w="2266" w:type="dxa"/>
            <w:tcBorders/>
            <w:vAlign w:val="center"/>
          </w:tcPr>
          <w:p>
            <w:pPr>
              <w:pStyle w:val="TableContents"/>
              <w:pBdr/>
              <w:bidi w:val="0"/>
              <w:spacing w:before="0" w:after="4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p>
        </w:tc>
        <w:tc>
          <w:tcPr>
            <w:tcW w:w="226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1831"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Non-accelerated filer ☐</w:t>
            </w:r>
          </w:p>
        </w:tc>
      </w:tr>
      <w:tr>
        <w:trPr/>
        <w:tc>
          <w:tcPr>
            <w:tcW w:w="22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c>
          <w:tcPr>
            <w:tcW w:w="22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c>
          <w:tcPr>
            <w:tcW w:w="1831" w:type="dxa"/>
            <w:tcBorders/>
            <w:vAlign w:val="center"/>
          </w:tcPr>
          <w:p>
            <w:pPr>
              <w:pStyle w:val="TableContents"/>
              <w:bidi w:val="0"/>
              <w:spacing w:before="0" w:after="0"/>
              <w:ind w:left="0" w:right="0" w:hanging="0"/>
              <w:jc w:val="center"/>
              <w:rPr/>
            </w:pPr>
            <w:r>
              <w:rPr/>
              <w:t>​</w:t>
            </w:r>
          </w:p>
        </w:tc>
      </w:tr>
    </w:tbl>
    <w:p>
      <w:pPr>
        <w:pStyle w:val="TextBody"/>
        <w:bidi w:val="0"/>
        <w:spacing w:before="60" w:after="6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 xml:space="preserve">☒ </w:t>
      </w:r>
    </w:p>
    <w:p>
      <w:pPr>
        <w:pStyle w:val="TextBody"/>
        <w:pBdr>
          <w:bottom w:val="single" w:sz="8" w:space="1" w:color="000000"/>
        </w:pBdr>
        <w:bidi w:val="0"/>
        <w:spacing w:before="0" w:after="0"/>
        <w:ind w:left="0" w:right="0" w:hanging="0"/>
        <w:jc w:val="left"/>
        <w:rPr>
          <w:rFonts w:ascii="Times New Roman;Times;serif" w:hAnsi="Times New Roman;Times;serif"/>
          <w:sz w:val="18"/>
          <w:bdr w:val="single" w:sz="24" w:space="1" w:color="000000"/>
        </w:rPr>
      </w:pPr>
      <w:r>
        <w:rPr>
          <w:rFonts w:ascii="Times New Roman;Times;serif" w:hAnsi="Times New Roman;Times;serif"/>
          <w:sz w:val="18"/>
          <w:bdr w:val="single" w:sz="24" w:space="1" w:color="000000"/>
        </w:rPr>
        <w:t>The number of shares of common stock, par value $.01, of O-I Glass, Inc. outstanding as of June 30, 2026 was 153,659,747.</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29" w:name="PartIFINANCIALINFORMATION_295604"/>
      <w:bookmarkStart w:id="30" w:name="_c4de26e9_6fa9_4ef6_b860_4bbbb0969f62"/>
      <w:bookmarkEnd w:id="29"/>
      <w:bookmarkEnd w:id="30"/>
      <w:r>
        <w:rPr>
          <w:rFonts w:ascii="Times New Roman;Times;serif" w:hAnsi="Times New Roman;Times;serif"/>
          <w:sz w:val="20"/>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1" w:name="Item1FinancialStatements_926581"/>
      <w:bookmarkEnd w:id="31"/>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Condensed Consolidated Financial Statements of O-I Glass, Inc. (the “Company”) presented herein are unaudited but, in the opinion of management, reflect all adjustments necessary to present fairly such information for the periods and at the dates indicated. All adjustments are of a normal recurring nature. Because the following unaudited Condensed Consolidated Financial Statements have been prepared in accordance with Article 10 of Regulation S-X, they do not contain all information and footnotes normally contained in annual consolidated financial statements; accordingly, they should be read in conjunction with the Consolidated Financial Statements and notes thereto appearing in the Company’s Annual Report on Form 10-K for the year ended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center"/>
        <w:rPr>
          <w:rFonts w:ascii="Times New Roman;Times;serif" w:hAnsi="Times New Roman;Times;serif"/>
          <w:sz w:val="20"/>
        </w:rPr>
      </w:pPr>
      <w:bookmarkStart w:id="32" w:name="_d569b21e_12aa_4039_9786_5cdf9cbf7b5b"/>
      <w:bookmarkEnd w:id="32"/>
      <w:r>
        <w:rPr>
          <w:rFonts w:ascii="Times New Roman;Times;serif" w:hAnsi="Times New Roman;Times;serif"/>
          <w:sz w:val="20"/>
        </w:rPr>
        <w:t>O-I GLASS, INC.</w:t>
      </w:r>
    </w:p>
    <w:p>
      <w:pPr>
        <w:pStyle w:val="TextBody"/>
        <w:bidi w:val="0"/>
        <w:spacing w:before="0" w:after="0"/>
        <w:ind w:left="0" w:right="0" w:hanging="0"/>
        <w:jc w:val="center"/>
        <w:rPr>
          <w:rFonts w:ascii="Times New Roman;Times;serif" w:hAnsi="Times New Roman;Times;serif"/>
          <w:sz w:val="20"/>
        </w:rPr>
      </w:pPr>
      <w:bookmarkStart w:id="33" w:name="OPERATIONS_576222"/>
      <w:bookmarkEnd w:id="33"/>
      <w:r>
        <w:rPr>
          <w:rFonts w:ascii="Times New Roman;Times;serif" w:hAnsi="Times New Roman;Times;serif"/>
          <w:sz w:val="20"/>
        </w:rPr>
        <w:t>CONDENSED CONSOLIDATED RESULTS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millions, except per share amounts)</w:t>
        <w:b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 w:name="Tc_xilCtnOk40GmsPh7rw6DBQ_28_0"/>
      <w:bookmarkStart w:id="35" w:name="Tc_w_sR7GCNVESav2KjvB133w_27_11"/>
      <w:bookmarkStart w:id="36" w:name="Tc_BOg93OElYUq2rkVf8MFJEw_27_8"/>
      <w:bookmarkStart w:id="37" w:name="Tc_hQ2LOhHLBEisA-y3FE8tyw_27_5"/>
      <w:bookmarkStart w:id="38" w:name="Tc_wDPwX-A0JEaciIGOas1X9A_27_2"/>
      <w:bookmarkStart w:id="39" w:name="Tc_onvAsLIJqkeSCTwo-L4CtQ_27_0"/>
      <w:bookmarkStart w:id="40" w:name="Tc_OryhyfH0ZUO2N_UGbREu4Q_26_0"/>
      <w:bookmarkStart w:id="41" w:name="Tc_GBaHbVX4e0idxEAN2lhXRA_24_0"/>
      <w:bookmarkStart w:id="42" w:name="Tc_j4tvJi_X0kujIIXsQQaaXA_23_11"/>
      <w:bookmarkStart w:id="43" w:name="Tc_QwpsuueZa0KhGjoH54pOFw_23_8"/>
      <w:bookmarkStart w:id="44" w:name="Tc_wU4gT-FgukCr3YjS-4Q7VA_23_5"/>
      <w:bookmarkStart w:id="45" w:name="Tc_Kx_moQM490WWSrMPxdraFQ_23_2"/>
      <w:bookmarkStart w:id="46" w:name="Tc_Q0IbWEXFHEaHNoGJC9m6gA_23_0"/>
      <w:bookmarkStart w:id="47" w:name="Tc_39coC9GDP0Oe2yko5OfzSw_22_0"/>
      <w:bookmarkStart w:id="48" w:name="Tc_pe6i1lLfqkuoENzhn6mGvQ_20_11"/>
      <w:bookmarkStart w:id="49" w:name="Tc_RAYyaCg6fU-QhYh8UQTsqQ_20_8"/>
      <w:bookmarkStart w:id="50" w:name="Tc_ecjfwVSl3kSFkmUAAZzK-g_20_5"/>
      <w:bookmarkStart w:id="51" w:name="Tc_LHNAa5kDRUSDAH3fD8TYcw_20_2"/>
      <w:bookmarkStart w:id="52" w:name="Tc_nAWLNFxrBUW9SQ4WyS7PtQ_20_0"/>
      <w:bookmarkStart w:id="53" w:name="Tc_U5az0Q_Kfke-0ZOCOr-Pkw_19_0"/>
      <w:bookmarkStart w:id="54" w:name="Tc_toiLnmnS3Eyj-8wSjrlpPg_18_0"/>
      <w:bookmarkStart w:id="55" w:name="Tc_HrCf3b9kZ0SLXi9jDsP01Q_16_0"/>
      <w:bookmarkStart w:id="56" w:name="Tc_R5J8OrVlgU2NiMDr257WKQ_15_0"/>
      <w:bookmarkStart w:id="57" w:name="Tc_8Hf1F9A0qkSySo4fBFHu9g_13_0"/>
      <w:bookmarkStart w:id="58" w:name="Tc_d4_X8NQLYUO3qN_n_5d5RA_12_0"/>
      <w:bookmarkStart w:id="59" w:name="Tc_exUZ4cU7W0GGFAY4mxWvfQ_11_0"/>
      <w:bookmarkStart w:id="60" w:name="Tc_4Zhq_mZzakiTdOSzuR1luQ_10_0"/>
      <w:bookmarkStart w:id="61" w:name="Tc_6SBr3uVjYUOuiXKOQwmUCQ_9_0"/>
      <w:bookmarkStart w:id="62" w:name="Tc_ZIL8jvZgrkiwLRuvvNf3Og_7_0"/>
      <w:bookmarkStart w:id="63" w:name="Tc_3AMuO_nzHkegE8I3cpUy_Q_5_0"/>
      <w:bookmarkStart w:id="64" w:name="Tc_rF3is4sDjUiliA89owBfHg_4_11"/>
      <w:bookmarkStart w:id="65" w:name="Tc_gEY79Y6c3UqYgnveds3lCQ_4_8"/>
      <w:bookmarkStart w:id="66" w:name="Tc_O794PJoekkeOsKUYPrJnYA_4_5"/>
      <w:bookmarkStart w:id="67" w:name="Tc_0MkCz8lAT0Klxl0leDLGsw_4_2"/>
      <w:bookmarkStart w:id="68" w:name="Tc_Np5KT_mvg0ieidKYdiNQ7g_3_11"/>
      <w:bookmarkStart w:id="69" w:name="Tc_tXjzg3Dqu0O9bphFf8aEdA_3_8"/>
      <w:bookmarkStart w:id="70" w:name="Tc_BalAO4Bf8kOrrQW1E75gOQ_3_5"/>
      <w:bookmarkStart w:id="71" w:name="Tc_69nfZXgAIUWU3bUgfhhz7A_3_2"/>
      <w:bookmarkStart w:id="72" w:name="Tc_XKRYuWnvsUyGVw2o8tXD1Q_2_8"/>
      <w:bookmarkStart w:id="73" w:name="Tc_qnT4v7w2SEilbC2-tX3L5g_2_2"/>
      <w:bookmarkStart w:id="74" w:name="Tc_AN3pGrCRVEaPLZG3BsFr_w_1_8"/>
      <w:bookmarkStart w:id="75" w:name="Tc_8inLUDDWMEe-YkK6y-FB1Q_1_2"/>
      <w:bookmarkStart w:id="76" w:name="_c7f698ad_aa67_472c_afda_daf6856f64f1"/>
      <w:bookmarkStart w:id="77" w:name="Tc_xilCtnOk40GmsPh7rw6DBQ_28_0"/>
      <w:bookmarkStart w:id="78" w:name="Tc_w_sR7GCNVESav2KjvB133w_27_11"/>
      <w:bookmarkStart w:id="79" w:name="Tc_BOg93OElYUq2rkVf8MFJEw_27_8"/>
      <w:bookmarkStart w:id="80" w:name="Tc_hQ2LOhHLBEisA-y3FE8tyw_27_5"/>
      <w:bookmarkStart w:id="81" w:name="Tc_wDPwX-A0JEaciIGOas1X9A_27_2"/>
      <w:bookmarkStart w:id="82" w:name="Tc_onvAsLIJqkeSCTwo-L4CtQ_27_0"/>
      <w:bookmarkStart w:id="83" w:name="Tc_OryhyfH0ZUO2N_UGbREu4Q_26_0"/>
      <w:bookmarkStart w:id="84" w:name="Tc_GBaHbVX4e0idxEAN2lhXRA_24_0"/>
      <w:bookmarkStart w:id="85" w:name="Tc_j4tvJi_X0kujIIXsQQaaXA_23_11"/>
      <w:bookmarkStart w:id="86" w:name="Tc_QwpsuueZa0KhGjoH54pOFw_23_8"/>
      <w:bookmarkStart w:id="87" w:name="Tc_wU4gT-FgukCr3YjS-4Q7VA_23_5"/>
      <w:bookmarkStart w:id="88" w:name="Tc_Kx_moQM490WWSrMPxdraFQ_23_2"/>
      <w:bookmarkStart w:id="89" w:name="Tc_Q0IbWEXFHEaHNoGJC9m6gA_23_0"/>
      <w:bookmarkStart w:id="90" w:name="Tc_39coC9GDP0Oe2yko5OfzSw_22_0"/>
      <w:bookmarkStart w:id="91" w:name="Tc_pe6i1lLfqkuoENzhn6mGvQ_20_11"/>
      <w:bookmarkStart w:id="92" w:name="Tc_RAYyaCg6fU-QhYh8UQTsqQ_20_8"/>
      <w:bookmarkStart w:id="93" w:name="Tc_ecjfwVSl3kSFkmUAAZzK-g_20_5"/>
      <w:bookmarkStart w:id="94" w:name="Tc_LHNAa5kDRUSDAH3fD8TYcw_20_2"/>
      <w:bookmarkStart w:id="95" w:name="Tc_nAWLNFxrBUW9SQ4WyS7PtQ_20_0"/>
      <w:bookmarkStart w:id="96" w:name="Tc_U5az0Q_Kfke-0ZOCOr-Pkw_19_0"/>
      <w:bookmarkStart w:id="97" w:name="Tc_toiLnmnS3Eyj-8wSjrlpPg_18_0"/>
      <w:bookmarkStart w:id="98" w:name="Tc_HrCf3b9kZ0SLXi9jDsP01Q_16_0"/>
      <w:bookmarkStart w:id="99" w:name="Tc_R5J8OrVlgU2NiMDr257WKQ_15_0"/>
      <w:bookmarkStart w:id="100" w:name="Tc_8Hf1F9A0qkSySo4fBFHu9g_13_0"/>
      <w:bookmarkStart w:id="101" w:name="Tc_d4_X8NQLYUO3qN_n_5d5RA_12_0"/>
      <w:bookmarkStart w:id="102" w:name="Tc_exUZ4cU7W0GGFAY4mxWvfQ_11_0"/>
      <w:bookmarkStart w:id="103" w:name="Tc_4Zhq_mZzakiTdOSzuR1luQ_10_0"/>
      <w:bookmarkStart w:id="104" w:name="Tc_6SBr3uVjYUOuiXKOQwmUCQ_9_0"/>
      <w:bookmarkStart w:id="105" w:name="Tc_ZIL8jvZgrkiwLRuvvNf3Og_7_0"/>
      <w:bookmarkStart w:id="106" w:name="Tc_3AMuO_nzHkegE8I3cpUy_Q_5_0"/>
      <w:bookmarkStart w:id="107" w:name="Tc_rF3is4sDjUiliA89owBfHg_4_11"/>
      <w:bookmarkStart w:id="108" w:name="Tc_gEY79Y6c3UqYgnveds3lCQ_4_8"/>
      <w:bookmarkStart w:id="109" w:name="Tc_O794PJoekkeOsKUYPrJnYA_4_5"/>
      <w:bookmarkStart w:id="110" w:name="Tc_0MkCz8lAT0Klxl0leDLGsw_4_2"/>
      <w:bookmarkStart w:id="111" w:name="Tc_Np5KT_mvg0ieidKYdiNQ7g_3_11"/>
      <w:bookmarkStart w:id="112" w:name="Tc_tXjzg3Dqu0O9bphFf8aEdA_3_8"/>
      <w:bookmarkStart w:id="113" w:name="Tc_BalAO4Bf8kOrrQW1E75gOQ_3_5"/>
      <w:bookmarkStart w:id="114" w:name="Tc_69nfZXgAIUWU3bUgfhhz7A_3_2"/>
      <w:bookmarkStart w:id="115" w:name="Tc_XKRYuWnvsUyGVw2o8tXD1Q_2_8"/>
      <w:bookmarkStart w:id="116" w:name="Tc_qnT4v7w2SEilbC2-tX3L5g_2_2"/>
      <w:bookmarkStart w:id="117" w:name="Tc_AN3pGrCRVEaPLZG3BsFr_w_1_8"/>
      <w:bookmarkStart w:id="118" w:name="Tc_8inLUDDWMEe-YkK6y-FB1Q_1_2"/>
      <w:bookmarkStart w:id="119" w:name="_c7f698ad_aa67_472c_afda_daf6856f64f1"/>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tbl>
      <w:tblPr>
        <w:tblW w:w="10205" w:type="dxa"/>
        <w:jc w:val="left"/>
        <w:tblInd w:w="0" w:type="dxa"/>
        <w:tblLayout w:type="fixed"/>
        <w:tblCellMar>
          <w:top w:w="0" w:type="dxa"/>
          <w:left w:w="0" w:type="dxa"/>
          <w:bottom w:w="0" w:type="dxa"/>
          <w:right w:w="0" w:type="dxa"/>
        </w:tblCellMar>
      </w:tblPr>
      <w:tblGrid>
        <w:gridCol w:w="4316"/>
        <w:gridCol w:w="346"/>
        <w:gridCol w:w="211"/>
        <w:gridCol w:w="781"/>
        <w:gridCol w:w="346"/>
        <w:gridCol w:w="211"/>
        <w:gridCol w:w="781"/>
        <w:gridCol w:w="346"/>
        <w:gridCol w:w="211"/>
        <w:gridCol w:w="781"/>
        <w:gridCol w:w="346"/>
        <w:gridCol w:w="211"/>
        <w:gridCol w:w="781"/>
        <w:gridCol w:w="346"/>
        <w:gridCol w:w="191"/>
      </w:tblGrid>
      <w:tr>
        <w:trPr/>
        <w:tc>
          <w:tcPr>
            <w:tcW w:w="4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740660" cy="175260"/>
                      <wp:effectExtent l="0" t="0" r="0" b="0"/>
                      <wp:wrapNone/>
                      <wp:docPr id="3" name="Frame2"/>
                      <a:graphic xmlns:a="http://schemas.openxmlformats.org/drawingml/2006/main">
                        <a:graphicData uri="http://schemas.microsoft.com/office/word/2010/wordprocessingShape">
                          <wps:wsp>
                            <wps:cNvSpPr txBox="1"/>
                            <wps:spPr>
                              <a:xfrm>
                                <a:off x="0" y="0"/>
                                <a:ext cx="274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95935" cy="175260"/>
                      <wp:effectExtent l="0" t="0" r="0" b="0"/>
                      <wp:wrapNone/>
                      <wp:docPr id="15"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1285" cy="175260"/>
                      <wp:effectExtent l="0" t="0" r="0" b="0"/>
                      <wp:wrapNone/>
                      <wp:docPr id="17" name="Frame1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91" w:type="dxa"/>
            <w:tcBorders/>
            <w:vAlign w:val="center"/>
          </w:tcPr>
          <w:p>
            <w:pPr>
              <w:pStyle w:val="TableContents"/>
              <w:bidi w:val="0"/>
              <w:spacing w:before="0" w:after="0"/>
              <w:ind w:left="0" w:right="0" w:hanging="0"/>
              <w:jc w:val="left"/>
              <w:rPr/>
            </w:pPr>
            <w:r>
              <w:rPr/>
              <w:t> </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administrative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development and engineering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 (incl. goodwill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(thousands)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153,851</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diluted shares outstanding (thousands)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153,851</w:t>
            </w:r>
          </w:p>
        </w:tc>
        <w:tc>
          <w:tcPr>
            <w:tcW w:w="3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center"/>
        <w:rPr>
          <w:rFonts w:ascii="Times New Roman;Times;serif" w:hAnsi="Times New Roman;Times;serif"/>
          <w:sz w:val="20"/>
        </w:rPr>
      </w:pPr>
      <w:bookmarkStart w:id="120" w:name="_43341319_fcb7_4843_b3fb_f244681b7f84"/>
      <w:bookmarkEnd w:id="120"/>
      <w:r>
        <w:rPr>
          <w:rFonts w:ascii="Times New Roman;Times;serif" w:hAnsi="Times New Roman;Times;serif"/>
          <w:sz w:val="20"/>
        </w:rPr>
        <w:t>O-I GLASS, INC.</w:t>
      </w:r>
    </w:p>
    <w:p>
      <w:pPr>
        <w:pStyle w:val="TextBody"/>
        <w:bidi w:val="0"/>
        <w:spacing w:before="0" w:after="0"/>
        <w:ind w:left="0" w:right="0" w:hanging="0"/>
        <w:jc w:val="center"/>
        <w:rPr>
          <w:rFonts w:ascii="Times New Roman;Times;serif" w:hAnsi="Times New Roman;Times;serif"/>
          <w:sz w:val="20"/>
        </w:rPr>
      </w:pPr>
      <w:bookmarkStart w:id="121" w:name="COMPREHENSIVEINCOME_790264"/>
      <w:bookmarkEnd w:id="121"/>
      <w:r>
        <w:rPr>
          <w:rFonts w:ascii="Times New Roman;Times;serif" w:hAnsi="Times New Roman;Times;serif"/>
          <w:sz w:val="20"/>
        </w:rPr>
        <w:t xml:space="preserve">CONDENSED CONSOLIDATED COMPREHENSIVE INCOME (LOSS)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millions)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2" w:name="Tc_s-IDy4twTkOsoQJUTZte6Q_12_11"/>
      <w:bookmarkStart w:id="123" w:name="Tc_ARvCLirWC0GWlRtPtYmAKg_12_8"/>
      <w:bookmarkStart w:id="124" w:name="Tc_KrJ1vkJw_0KfMesONFvsQQ_12_5"/>
      <w:bookmarkStart w:id="125" w:name="Tc_sDdlLkATjkODi7ff19fIkA_12_2"/>
      <w:bookmarkStart w:id="126" w:name="Tc_p0NLBa0l30292KysaCPrFw_12_0"/>
      <w:bookmarkStart w:id="127" w:name="Tc_yWydl4XSbU2G3bx3ZGxyOA_11_0"/>
      <w:bookmarkStart w:id="128" w:name="Tc_-u4mkS1EjkanVBqVICLbJA_10_0"/>
      <w:bookmarkStart w:id="129" w:name="Tc_7SjSPeOokECmZeCFzDrBnQ_9_0"/>
      <w:bookmarkStart w:id="130" w:name="Tc_l-lrNNXzaEyns_DWu1cJtQ_8_0"/>
      <w:bookmarkStart w:id="131" w:name="Tc_TFpSFI9R402X_QFJ6n5qQw_7_0"/>
      <w:bookmarkStart w:id="132" w:name="Tc_rl4pwvy080yz_1_ZLYOBaQ_6_0"/>
      <w:bookmarkStart w:id="133" w:name="Tc_mrOHTA9bKkOF_A7-9eC9Gg_5_0"/>
      <w:bookmarkStart w:id="134" w:name="Tc_S4_J3csUdUO0lCZChfZYkw_4_11"/>
      <w:bookmarkStart w:id="135" w:name="Tc_CkFo--e1-0CnbHhkQ6M7kQ_4_8"/>
      <w:bookmarkStart w:id="136" w:name="Tc_rACb7uL1Kk6OX2dRMfpLww_4_5"/>
      <w:bookmarkStart w:id="137" w:name="Tc_u-MdiVSaBUmzp_pq9AQSww_4_2"/>
      <w:bookmarkStart w:id="138" w:name="Tc_iNaXNKS1gUijDZ9DoGmseA_4_0"/>
      <w:bookmarkStart w:id="139" w:name="Tc_75PZjPxWyUi8IBfQp_PXOQ_3_11"/>
      <w:bookmarkStart w:id="140" w:name="Tc_P15o0ocU5UiyeBDz2qed_w_3_8"/>
      <w:bookmarkStart w:id="141" w:name="Tc_x_AyTNREhUq61hZ2s70WjA_3_5"/>
      <w:bookmarkStart w:id="142" w:name="Tc_U7-L2htAWUiEylc_IY0c3g_3_2"/>
      <w:bookmarkStart w:id="143" w:name="Tc_ireyoVPJfU6v4WjyCBhsbQ_2_8"/>
      <w:bookmarkStart w:id="144" w:name="Tc_GjJvbM_QM0mX8-GIJ50lZw_2_2"/>
      <w:bookmarkStart w:id="145" w:name="Tc_QTTzk6_VqEK0tKYu_ZYONg_1_8"/>
      <w:bookmarkStart w:id="146" w:name="Tc_6AUlYfLyu0yA0wXtlh3HZg_1_2"/>
      <w:bookmarkStart w:id="147" w:name="_1057c9e1_a7bb_4f53_a54b_5d515dacd252"/>
      <w:bookmarkStart w:id="148" w:name="Tc_s-IDy4twTkOsoQJUTZte6Q_12_11"/>
      <w:bookmarkStart w:id="149" w:name="Tc_ARvCLirWC0GWlRtPtYmAKg_12_8"/>
      <w:bookmarkStart w:id="150" w:name="Tc_KrJ1vkJw_0KfMesONFvsQQ_12_5"/>
      <w:bookmarkStart w:id="151" w:name="Tc_sDdlLkATjkODi7ff19fIkA_12_2"/>
      <w:bookmarkStart w:id="152" w:name="Tc_p0NLBa0l30292KysaCPrFw_12_0"/>
      <w:bookmarkStart w:id="153" w:name="Tc_yWydl4XSbU2G3bx3ZGxyOA_11_0"/>
      <w:bookmarkStart w:id="154" w:name="Tc_-u4mkS1EjkanVBqVICLbJA_10_0"/>
      <w:bookmarkStart w:id="155" w:name="Tc_7SjSPeOokECmZeCFzDrBnQ_9_0"/>
      <w:bookmarkStart w:id="156" w:name="Tc_l-lrNNXzaEyns_DWu1cJtQ_8_0"/>
      <w:bookmarkStart w:id="157" w:name="Tc_TFpSFI9R402X_QFJ6n5qQw_7_0"/>
      <w:bookmarkStart w:id="158" w:name="Tc_rl4pwvy080yz_1_ZLYOBaQ_6_0"/>
      <w:bookmarkStart w:id="159" w:name="Tc_mrOHTA9bKkOF_A7-9eC9Gg_5_0"/>
      <w:bookmarkStart w:id="160" w:name="Tc_S4_J3csUdUO0lCZChfZYkw_4_11"/>
      <w:bookmarkStart w:id="161" w:name="Tc_CkFo--e1-0CnbHhkQ6M7kQ_4_8"/>
      <w:bookmarkStart w:id="162" w:name="Tc_rACb7uL1Kk6OX2dRMfpLww_4_5"/>
      <w:bookmarkStart w:id="163" w:name="Tc_u-MdiVSaBUmzp_pq9AQSww_4_2"/>
      <w:bookmarkStart w:id="164" w:name="Tc_iNaXNKS1gUijDZ9DoGmseA_4_0"/>
      <w:bookmarkStart w:id="165" w:name="Tc_75PZjPxWyUi8IBfQp_PXOQ_3_11"/>
      <w:bookmarkStart w:id="166" w:name="Tc_P15o0ocU5UiyeBDz2qed_w_3_8"/>
      <w:bookmarkStart w:id="167" w:name="Tc_x_AyTNREhUq61hZ2s70WjA_3_5"/>
      <w:bookmarkStart w:id="168" w:name="Tc_U7-L2htAWUiEylc_IY0c3g_3_2"/>
      <w:bookmarkStart w:id="169" w:name="Tc_ireyoVPJfU6v4WjyCBhsbQ_2_8"/>
      <w:bookmarkStart w:id="170" w:name="Tc_GjJvbM_QM0mX8-GIJ50lZw_2_2"/>
      <w:bookmarkStart w:id="171" w:name="Tc_QTTzk6_VqEK0tKYu_ZYONg_1_8"/>
      <w:bookmarkStart w:id="172" w:name="Tc_6AUlYfLyu0yA0wXtlh3HZg_1_2"/>
      <w:bookmarkStart w:id="173" w:name="_1057c9e1_a7bb_4f53_a54b_5d515dacd252"/>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tbl>
      <w:tblPr>
        <w:tblW w:w="10205" w:type="dxa"/>
        <w:jc w:val="left"/>
        <w:tblInd w:w="0" w:type="dxa"/>
        <w:tblLayout w:type="fixed"/>
        <w:tblCellMar>
          <w:top w:w="0" w:type="dxa"/>
          <w:left w:w="0" w:type="dxa"/>
          <w:bottom w:w="0" w:type="dxa"/>
          <w:right w:w="0" w:type="dxa"/>
        </w:tblCellMar>
      </w:tblPr>
      <w:tblGrid>
        <w:gridCol w:w="5234"/>
        <w:gridCol w:w="346"/>
        <w:gridCol w:w="211"/>
        <w:gridCol w:w="540"/>
        <w:gridCol w:w="346"/>
        <w:gridCol w:w="211"/>
        <w:gridCol w:w="435"/>
        <w:gridCol w:w="346"/>
        <w:gridCol w:w="211"/>
        <w:gridCol w:w="690"/>
        <w:gridCol w:w="346"/>
        <w:gridCol w:w="211"/>
        <w:gridCol w:w="540"/>
        <w:gridCol w:w="346"/>
        <w:gridCol w:w="192"/>
      </w:tblGrid>
      <w:tr>
        <w:trPr/>
        <w:tc>
          <w:tcPr>
            <w:tcW w:w="5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323590" cy="175260"/>
                      <wp:effectExtent l="0" t="0" r="0" b="0"/>
                      <wp:wrapNone/>
                      <wp:docPr id="18" name="Frame17"/>
                      <a:graphic xmlns:a="http://schemas.openxmlformats.org/drawingml/2006/main">
                        <a:graphicData uri="http://schemas.microsoft.com/office/word/2010/wordprocessingShape">
                          <wps:wsp>
                            <wps:cNvSpPr txBox="1"/>
                            <wps:spPr>
                              <a:xfrm>
                                <a:off x="0" y="0"/>
                                <a:ext cx="3323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42900" cy="175260"/>
                      <wp:effectExtent l="0" t="0" r="0" b="0"/>
                      <wp:wrapNone/>
                      <wp:docPr id="21" name="Frame2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76225" cy="175260"/>
                      <wp:effectExtent l="0" t="0" r="0" b="0"/>
                      <wp:wrapNone/>
                      <wp:docPr id="24" name="Frame23"/>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8150" cy="175260"/>
                      <wp:effectExtent l="0" t="0" r="0" b="0"/>
                      <wp:wrapNone/>
                      <wp:docPr id="27" name="Frame2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42900" cy="175260"/>
                      <wp:effectExtent l="0" t="0" r="0" b="0"/>
                      <wp:wrapNone/>
                      <wp:docPr id="30" name="Frame2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1920" cy="175260"/>
                      <wp:effectExtent l="0" t="0" r="0" b="0"/>
                      <wp:wrapNone/>
                      <wp:docPr id="32" name="Frame31"/>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9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2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center"/>
              <w:rPr/>
            </w:pPr>
            <w:r>
              <w:rPr/>
              <w:t>​</w:t>
            </w:r>
          </w:p>
        </w:tc>
        <w:tc>
          <w:tcPr>
            <w:tcW w:w="19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2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92" w:type="dxa"/>
            <w:tcBorders/>
            <w:vAlign w:val="center"/>
          </w:tcPr>
          <w:p>
            <w:pPr>
              <w:pStyle w:val="TableContents"/>
              <w:bidi w:val="0"/>
              <w:spacing w:before="0" w:after="0"/>
              <w:ind w:left="0" w:right="0" w:hanging="0"/>
              <w:jc w:val="center"/>
              <w:rPr/>
            </w:pPr>
            <w:r>
              <w:rPr/>
              <w:t> </w:t>
            </w:r>
          </w:p>
        </w:tc>
      </w:tr>
      <w:tr>
        <w:trPr/>
        <w:tc>
          <w:tcPr>
            <w:tcW w:w="5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and other postretirement benefit adjustments,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4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instruments,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center"/>
        <w:rPr>
          <w:rFonts w:ascii="Times New Roman;Times;serif" w:hAnsi="Times New Roman;Times;serif"/>
          <w:sz w:val="20"/>
        </w:rPr>
      </w:pPr>
      <w:bookmarkStart w:id="174" w:name="_8ff1c0bf_bf33_45f5_891e_3a8623920b3f"/>
      <w:bookmarkEnd w:id="174"/>
      <w:r>
        <w:rPr>
          <w:rFonts w:ascii="Times New Roman;Times;serif" w:hAnsi="Times New Roman;Times;serif"/>
          <w:sz w:val="20"/>
        </w:rPr>
        <w:t>O-I GLASS, INC.</w:t>
      </w:r>
    </w:p>
    <w:p>
      <w:pPr>
        <w:pStyle w:val="TextBody"/>
        <w:bidi w:val="0"/>
        <w:spacing w:before="0" w:after="0"/>
        <w:ind w:left="0" w:right="0" w:hanging="0"/>
        <w:jc w:val="center"/>
        <w:rPr>
          <w:rFonts w:ascii="Times New Roman;Times;serif" w:hAnsi="Times New Roman;Times;serif"/>
          <w:sz w:val="20"/>
        </w:rPr>
      </w:pPr>
      <w:bookmarkStart w:id="175" w:name="BALANCESHEETS_969275"/>
      <w:bookmarkEnd w:id="175"/>
      <w:r>
        <w:rPr>
          <w:rFonts w:ascii="Times New Roman;Times;serif" w:hAnsi="Times New Roman;Times;serif"/>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millions)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6" w:name="Tc__m3HnRwCvESM5t6-vTvrBA_27_8"/>
      <w:bookmarkStart w:id="177" w:name="Tc_5e0nhFxXykynYhUyr_O-kw_27_5"/>
      <w:bookmarkStart w:id="178" w:name="Tc_ttN8AGFy4kSKrPf9Ag_7aA_27_2"/>
      <w:bookmarkStart w:id="179" w:name="Tc_XVLPtFxb2kOp6OL8Z4QhBg_27_0"/>
      <w:bookmarkStart w:id="180" w:name="Tc_UQLYbRt8vUaEg0QMCAKBjQ_26_0"/>
      <w:bookmarkStart w:id="181" w:name="Tc_Pjyrne8mwk-KsWEZ7NRaDA_25_0"/>
      <w:bookmarkStart w:id="182" w:name="Tc_Z8K0t6U7IUGAOsArDrpExw_24_0"/>
      <w:bookmarkStart w:id="183" w:name="Tc_aUFClxse306VNOQM1BKuqQ_22_0"/>
      <w:bookmarkStart w:id="184" w:name="Tc_CCPRz67Yb0CL2ZjMBNL3hQ_21_0"/>
      <w:bookmarkStart w:id="185" w:name="Tc_5OiB2xZeEESMlyFxSGIp_Q_20_0"/>
      <w:bookmarkStart w:id="186" w:name="Tc_vBgmyA5B80aAIy9c3GehEA_19_8"/>
      <w:bookmarkStart w:id="187" w:name="Tc_U7FmvMW6M0aMJ2jtr-TcCQ_19_5"/>
      <w:bookmarkStart w:id="188" w:name="Tc_KfGcveQ5Ak-ILOIQ4f5D5g_19_2"/>
      <w:bookmarkStart w:id="189" w:name="Tc_OK4THV762k6dkXkPpQydow_19_0"/>
      <w:bookmarkStart w:id="190" w:name="Tc_iF586RfYb02Xi7iT5ihHzg_18_0"/>
      <w:bookmarkStart w:id="191" w:name="Tc_igyo0wuGb0O5K1yUUH6_Eg_17_0"/>
      <w:bookmarkStart w:id="192" w:name="Tc_FbCWqVI-K0Ka4X5KSJbjbQ_15_8"/>
      <w:bookmarkStart w:id="193" w:name="Tc_IRiZRTdZl0WksKM5jcoEbQ_15_5"/>
      <w:bookmarkStart w:id="194" w:name="Tc_ALmIe6K5qU2nWj86rr4IgQ_15_2"/>
      <w:bookmarkStart w:id="195" w:name="Tc_45qCRycVS02YSpgYesOkyQ_15_0"/>
      <w:bookmarkStart w:id="196" w:name="Tc_07x2TchAjUetVftZaY03kw_14_0"/>
      <w:bookmarkStart w:id="197" w:name="Tc_8e4dhW7-8EmZQeK0H3r3fg_13_0"/>
      <w:bookmarkStart w:id="198" w:name="Tc_v11E_sZ2Pk2AsZyrcozNVA_12_0"/>
      <w:bookmarkStart w:id="199" w:name="Tc_aIBGYwxGq0q7gXkrDoMNOA_11_0"/>
      <w:bookmarkStart w:id="200" w:name="Tc_cZgvaDHnbkijlnbfaEE4uA_9_0"/>
      <w:bookmarkStart w:id="201" w:name="Tc_hU_FqTIj80K3poLpg45wmg_8_0"/>
      <w:bookmarkStart w:id="202" w:name="Tc_QMjAC7Q44U6TH246vM-BTQ_7_0"/>
      <w:bookmarkStart w:id="203" w:name="Tc_Hr4m9g8CPU67cs0tM953eQ_6_0"/>
      <w:bookmarkStart w:id="204" w:name="Tc_kCcGeRg6nkSY94LA0_hHcg_5_8"/>
      <w:bookmarkStart w:id="205" w:name="Tc_KHdaCcfszE-GfqnkDBh8zQ_5_5"/>
      <w:bookmarkStart w:id="206" w:name="Tc_7uv55XuCEU-u7MkEgEwLpg_5_2"/>
      <w:bookmarkStart w:id="207" w:name="Tc_iTTMtyYHUUWEGXrmUjlNtg_5_0"/>
      <w:bookmarkStart w:id="208" w:name="Tc_ED1l9WvMmUq22h9wum9JOg_4_0"/>
      <w:bookmarkStart w:id="209" w:name="Tc_u-a5IdvLVkqh2AGIkxiTIw_3_0"/>
      <w:bookmarkStart w:id="210" w:name="Tc_xRGFGztWXk6hnhzhVK3_qQ_2_8"/>
      <w:bookmarkStart w:id="211" w:name="Tc_dyDZh0EUwE-ublqMIGv-5w_2_5"/>
      <w:bookmarkStart w:id="212" w:name="Tc_2UBZMxEm4kOL14tLWWGLMw_2_2"/>
      <w:bookmarkStart w:id="213" w:name="Tc__pFajEb0-UCeI4t11JFTrw_1_8"/>
      <w:bookmarkStart w:id="214" w:name="Tc_sGcPV9pRA0-FrUIZJtAYzQ_1_5"/>
      <w:bookmarkStart w:id="215" w:name="Tc_0sz3r86wGEmTz2Mk43Tmyg_1_2"/>
      <w:bookmarkStart w:id="216" w:name="_d7406172_b9a7_4876_b6d8_9e48c3cea294"/>
      <w:bookmarkStart w:id="217" w:name="Tc__m3HnRwCvESM5t6-vTvrBA_27_8"/>
      <w:bookmarkStart w:id="218" w:name="Tc_5e0nhFxXykynYhUyr_O-kw_27_5"/>
      <w:bookmarkStart w:id="219" w:name="Tc_ttN8AGFy4kSKrPf9Ag_7aA_27_2"/>
      <w:bookmarkStart w:id="220" w:name="Tc_XVLPtFxb2kOp6OL8Z4QhBg_27_0"/>
      <w:bookmarkStart w:id="221" w:name="Tc_UQLYbRt8vUaEg0QMCAKBjQ_26_0"/>
      <w:bookmarkStart w:id="222" w:name="Tc_Pjyrne8mwk-KsWEZ7NRaDA_25_0"/>
      <w:bookmarkStart w:id="223" w:name="Tc_Z8K0t6U7IUGAOsArDrpExw_24_0"/>
      <w:bookmarkStart w:id="224" w:name="Tc_aUFClxse306VNOQM1BKuqQ_22_0"/>
      <w:bookmarkStart w:id="225" w:name="Tc_CCPRz67Yb0CL2ZjMBNL3hQ_21_0"/>
      <w:bookmarkStart w:id="226" w:name="Tc_5OiB2xZeEESMlyFxSGIp_Q_20_0"/>
      <w:bookmarkStart w:id="227" w:name="Tc_vBgmyA5B80aAIy9c3GehEA_19_8"/>
      <w:bookmarkStart w:id="228" w:name="Tc_U7FmvMW6M0aMJ2jtr-TcCQ_19_5"/>
      <w:bookmarkStart w:id="229" w:name="Tc_KfGcveQ5Ak-ILOIQ4f5D5g_19_2"/>
      <w:bookmarkStart w:id="230" w:name="Tc_OK4THV762k6dkXkPpQydow_19_0"/>
      <w:bookmarkStart w:id="231" w:name="Tc_iF586RfYb02Xi7iT5ihHzg_18_0"/>
      <w:bookmarkStart w:id="232" w:name="Tc_igyo0wuGb0O5K1yUUH6_Eg_17_0"/>
      <w:bookmarkStart w:id="233" w:name="Tc_FbCWqVI-K0Ka4X5KSJbjbQ_15_8"/>
      <w:bookmarkStart w:id="234" w:name="Tc_IRiZRTdZl0WksKM5jcoEbQ_15_5"/>
      <w:bookmarkStart w:id="235" w:name="Tc_ALmIe6K5qU2nWj86rr4IgQ_15_2"/>
      <w:bookmarkStart w:id="236" w:name="Tc_45qCRycVS02YSpgYesOkyQ_15_0"/>
      <w:bookmarkStart w:id="237" w:name="Tc_07x2TchAjUetVftZaY03kw_14_0"/>
      <w:bookmarkStart w:id="238" w:name="Tc_8e4dhW7-8EmZQeK0H3r3fg_13_0"/>
      <w:bookmarkStart w:id="239" w:name="Tc_v11E_sZ2Pk2AsZyrcozNVA_12_0"/>
      <w:bookmarkStart w:id="240" w:name="Tc_aIBGYwxGq0q7gXkrDoMNOA_11_0"/>
      <w:bookmarkStart w:id="241" w:name="Tc_cZgvaDHnbkijlnbfaEE4uA_9_0"/>
      <w:bookmarkStart w:id="242" w:name="Tc_hU_FqTIj80K3poLpg45wmg_8_0"/>
      <w:bookmarkStart w:id="243" w:name="Tc_QMjAC7Q44U6TH246vM-BTQ_7_0"/>
      <w:bookmarkStart w:id="244" w:name="Tc_Hr4m9g8CPU67cs0tM953eQ_6_0"/>
      <w:bookmarkStart w:id="245" w:name="Tc_kCcGeRg6nkSY94LA0_hHcg_5_8"/>
      <w:bookmarkStart w:id="246" w:name="Tc_KHdaCcfszE-GfqnkDBh8zQ_5_5"/>
      <w:bookmarkStart w:id="247" w:name="Tc_7uv55XuCEU-u7MkEgEwLpg_5_2"/>
      <w:bookmarkStart w:id="248" w:name="Tc_iTTMtyYHUUWEGXrmUjlNtg_5_0"/>
      <w:bookmarkStart w:id="249" w:name="Tc_ED1l9WvMmUq22h9wum9JOg_4_0"/>
      <w:bookmarkStart w:id="250" w:name="Tc_u-a5IdvLVkqh2AGIkxiTIw_3_0"/>
      <w:bookmarkStart w:id="251" w:name="Tc_xRGFGztWXk6hnhzhVK3_qQ_2_8"/>
      <w:bookmarkStart w:id="252" w:name="Tc_dyDZh0EUwE-ublqMIGv-5w_2_5"/>
      <w:bookmarkStart w:id="253" w:name="Tc_2UBZMxEm4kOL14tLWWGLMw_2_2"/>
      <w:bookmarkStart w:id="254" w:name="Tc__pFajEb0-UCeI4t11JFTrw_1_8"/>
      <w:bookmarkStart w:id="255" w:name="Tc_sGcPV9pRA0-FrUIZJtAYzQ_1_5"/>
      <w:bookmarkStart w:id="256" w:name="Tc_0sz3r86wGEmTz2Mk43Tmyg_1_2"/>
      <w:bookmarkStart w:id="257" w:name="_d7406172_b9a7_4876_b6d8_9e48c3cea294"/>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tbl>
      <w:tblPr>
        <w:tblW w:w="10205" w:type="dxa"/>
        <w:jc w:val="left"/>
        <w:tblInd w:w="0" w:type="dxa"/>
        <w:tblLayout w:type="fixed"/>
        <w:tblCellMar>
          <w:top w:w="0" w:type="dxa"/>
          <w:left w:w="0" w:type="dxa"/>
          <w:bottom w:w="0" w:type="dxa"/>
          <w:right w:w="0" w:type="dxa"/>
        </w:tblCellMar>
      </w:tblPr>
      <w:tblGrid>
        <w:gridCol w:w="6562"/>
        <w:gridCol w:w="346"/>
        <w:gridCol w:w="211"/>
        <w:gridCol w:w="571"/>
        <w:gridCol w:w="346"/>
        <w:gridCol w:w="267"/>
        <w:gridCol w:w="728"/>
        <w:gridCol w:w="346"/>
        <w:gridCol w:w="211"/>
        <w:gridCol w:w="617"/>
      </w:tblGrid>
      <w:tr>
        <w:trPr/>
        <w:tc>
          <w:tcPr>
            <w:tcW w:w="6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166870" cy="175260"/>
                      <wp:effectExtent l="0" t="0" r="0" b="0"/>
                      <wp:wrapNone/>
                      <wp:docPr id="33" name="Frame32"/>
                      <a:graphic xmlns:a="http://schemas.openxmlformats.org/drawingml/2006/main">
                        <a:graphicData uri="http://schemas.microsoft.com/office/word/2010/wordprocessingShape">
                          <wps:wsp>
                            <wps:cNvSpPr txBox="1"/>
                            <wps:spPr>
                              <a:xfrm>
                                <a:off x="0" y="0"/>
                                <a:ext cx="4166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62585" cy="175260"/>
                      <wp:effectExtent l="0" t="0" r="0" b="0"/>
                      <wp:wrapNone/>
                      <wp:docPr id="36" name="Frame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9545" cy="175260"/>
                      <wp:effectExtent l="0" t="0" r="0" b="0"/>
                      <wp:wrapNone/>
                      <wp:docPr id="38" name="Frame3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2280" cy="175260"/>
                      <wp:effectExtent l="0" t="0" r="0" b="0"/>
                      <wp:wrapNone/>
                      <wp:docPr id="39" name="Frame38"/>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91795" cy="175260"/>
                      <wp:effectExtent l="0" t="0" r="0" b="0"/>
                      <wp:wrapNone/>
                      <wp:docPr id="42" name="Frame41"/>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46" w:type="dxa"/>
            <w:tcBorders/>
            <w:vAlign w:val="center"/>
          </w:tcPr>
          <w:p>
            <w:pPr>
              <w:pStyle w:val="TableContents"/>
              <w:bidi w:val="0"/>
              <w:spacing w:before="0" w:after="0"/>
              <w:ind w:left="0" w:right="0" w:hanging="0"/>
              <w:jc w:val="right"/>
              <w:rPr/>
            </w:pPr>
            <w:r>
              <w:rPr/>
              <w:t>​</w:t>
            </w:r>
          </w:p>
        </w:tc>
        <w:tc>
          <w:tcPr>
            <w:tcW w:w="8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r>
      <w:tr>
        <w:trPr/>
        <w:tc>
          <w:tcPr>
            <w:tcW w:w="65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right"/>
              <w:rPr/>
            </w:pPr>
            <w:r>
              <w:rPr/>
              <w:t>  ​ ​ ​</w:t>
            </w:r>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r>
      <w:tr>
        <w:trPr/>
        <w:tc>
          <w:tcPr>
            <w:tcW w:w="6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r>
      <w:tr>
        <w:trPr/>
        <w:tc>
          <w:tcPr>
            <w:tcW w:w="6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net of allowance of $33 million, $31 million, and $31 million at June 30, 2026, December 31, 2025 and June 30,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 </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 </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6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2,451</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 </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w:t>
            </w:r>
          </w:p>
        </w:tc>
      </w:tr>
      <w:tr>
        <w:trPr/>
        <w:tc>
          <w:tcPr>
            <w:tcW w:w="65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17" w:type="dxa"/>
            <w:tcBorders/>
            <w:vAlign w:val="center"/>
          </w:tcPr>
          <w:p>
            <w:pPr>
              <w:pStyle w:val="TableContents"/>
              <w:bidi w:val="0"/>
              <w:spacing w:before="0" w:after="0"/>
              <w:ind w:left="0" w:right="0" w:hanging="0"/>
              <w:jc w:val="right"/>
              <w:rPr/>
            </w:pPr>
            <w:r>
              <w:rPr/>
              <w:t>​</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3,451</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r>
      <w:tr>
        <w:trPr/>
        <w:tc>
          <w:tcPr>
            <w:tcW w:w="6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6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8,088</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9,179</w:t>
            </w:r>
          </w:p>
        </w:tc>
      </w:tr>
      <w:tr>
        <w:trPr/>
        <w:tc>
          <w:tcPr>
            <w:tcW w:w="65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w:t>
            </w:r>
          </w:p>
        </w:tc>
        <w:tc>
          <w:tcPr>
            <w:tcW w:w="7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17" w:type="dxa"/>
            <w:tcBorders/>
            <w:vAlign w:val="center"/>
          </w:tcPr>
          <w:p>
            <w:pPr>
              <w:pStyle w:val="TableContents"/>
              <w:bidi w:val="0"/>
              <w:spacing w:before="0" w:after="0"/>
              <w:ind w:left="0" w:right="0" w:hanging="0"/>
              <w:jc w:val="right"/>
              <w:rPr/>
            </w:pPr>
            <w:r>
              <w:rPr/>
              <w:t>​</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 owners’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r>
      <w:tr>
        <w:trPr/>
        <w:tc>
          <w:tcPr>
            <w:tcW w:w="6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r>
      <w:tr>
        <w:trPr/>
        <w:tc>
          <w:tcPr>
            <w:tcW w:w="6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loans and long-term debt due within one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r>
      <w:tr>
        <w:trPr/>
        <w:tc>
          <w:tcPr>
            <w:tcW w:w="6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1,944</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 </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w:t>
            </w:r>
          </w:p>
        </w:tc>
      </w:tr>
      <w:tr>
        <w:trPr/>
        <w:tc>
          <w:tcPr>
            <w:tcW w:w="65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r>
      <w:tr>
        <w:trPr/>
        <w:tc>
          <w:tcPr>
            <w:tcW w:w="6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4,793</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4,898</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r>
      <w:tr>
        <w:trPr/>
        <w:tc>
          <w:tcPr>
            <w:tcW w:w="6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owners'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r>
      <w:tr>
        <w:trPr/>
        <w:tc>
          <w:tcPr>
            <w:tcW w:w="65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 owners’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8,088</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9,179</w:t>
            </w:r>
          </w:p>
        </w:tc>
      </w:tr>
      <w:tr>
        <w:trPr/>
        <w:tc>
          <w:tcPr>
            <w:tcW w:w="65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center"/>
        <w:rPr>
          <w:rFonts w:ascii="Times New Roman;Times;serif" w:hAnsi="Times New Roman;Times;serif"/>
          <w:sz w:val="20"/>
        </w:rPr>
      </w:pPr>
      <w:bookmarkStart w:id="258" w:name="_7c093447_7376_4a47_b913_195d6d739131"/>
      <w:bookmarkEnd w:id="258"/>
      <w:r>
        <w:rPr>
          <w:rFonts w:ascii="Times New Roman;Times;serif" w:hAnsi="Times New Roman;Times;serif"/>
          <w:sz w:val="20"/>
        </w:rPr>
        <w:t>O-I GLASS, INC.</w:t>
      </w:r>
    </w:p>
    <w:p>
      <w:pPr>
        <w:pStyle w:val="TextBody"/>
        <w:bidi w:val="0"/>
        <w:spacing w:before="0" w:after="0"/>
        <w:ind w:left="0" w:right="0" w:hanging="0"/>
        <w:jc w:val="center"/>
        <w:rPr>
          <w:rFonts w:ascii="Times New Roman;Times;serif" w:hAnsi="Times New Roman;Times;serif"/>
          <w:sz w:val="20"/>
        </w:rPr>
      </w:pPr>
      <w:bookmarkStart w:id="259" w:name="CASHFLOWS_458898"/>
      <w:bookmarkEnd w:id="259"/>
      <w:r>
        <w:rPr>
          <w:rFonts w:ascii="Times New Roman;Times;serif" w:hAnsi="Times New Roman;Times;serif"/>
          <w:sz w:val="20"/>
        </w:rPr>
        <w:t>CONDENSED CONSOLIDATED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millions)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60" w:name="Tc_TkhEgj1yUEe2EO1kmMh3lQ_38_5"/>
      <w:bookmarkStart w:id="261" w:name="Tc_bPlBKMmHlEatmP0iv25zVw_38_2"/>
      <w:bookmarkStart w:id="262" w:name="Tc_GjwJadaO_kqlv3jUiQxRtw_38_0"/>
      <w:bookmarkStart w:id="263" w:name="Tc_b4rYxeuNdUSZ7-s_aHy-IA_37_0"/>
      <w:bookmarkStart w:id="264" w:name="Tc_LTvqMQonIEqmdaPPE8fhEg_36_0"/>
      <w:bookmarkStart w:id="265" w:name="Tc_fsHY6kbg0U6YDPbbS8RzfQ_35_0"/>
      <w:bookmarkStart w:id="266" w:name="Tc_GUHzJfHLkk2jom5ZRs7SRA_34_3"/>
      <w:bookmarkStart w:id="267" w:name="Tc_eXblv2RcaUW0MW5M1W45sw_34_0"/>
      <w:bookmarkStart w:id="268" w:name="Tc_WyZuBZ3CZUyfgFD1QIjrKQ_33_0"/>
      <w:bookmarkStart w:id="269" w:name="Tc_Xp4UfN3P1EW-4RdH8oOdrg_32_0"/>
      <w:bookmarkStart w:id="270" w:name="Tc_LQ-YqZ4tiEysMrSHRDqwaw_31_0"/>
      <w:bookmarkStart w:id="271" w:name="Tc_ogfr5Pwn2E6MFbpfF54gLg_30_0"/>
      <w:bookmarkStart w:id="272" w:name="Tc_KgiKZFygEkOIUXuUT8Lz7Q_29_0"/>
      <w:bookmarkStart w:id="273" w:name="Tc_C12xnAsc00K8mthK_2oNfw_28_0"/>
      <w:bookmarkStart w:id="274" w:name="Tc_kFnjMpsNpUyyMZyjjAXrFA_27_0"/>
      <w:bookmarkStart w:id="275" w:name="Tc_B-vjaPO9Bk2PgMw_ODo3sQ_26_0"/>
      <w:bookmarkStart w:id="276" w:name="Tc_jueSn3qg6kefYyAvPXRt4g_25_0"/>
      <w:bookmarkStart w:id="277" w:name="Tc_D0oGFXql60mBeSghpLsslQ_24_0"/>
      <w:bookmarkStart w:id="278" w:name="Tc_o5aeBgDuV0qT_CmXZ17d5g_23_0"/>
      <w:bookmarkStart w:id="279" w:name="Tc_bJoo4XznnEupuODtVI66Dg_22_0"/>
      <w:bookmarkStart w:id="280" w:name="Tc_B9jSKrpx3k6gPAf4fYiDbg_21_0"/>
      <w:bookmarkStart w:id="281" w:name="Tc_gx6Kc86pA0mhDJUunbl2rA_20_0"/>
      <w:bookmarkStart w:id="282" w:name="Tc_OabVWZDD_UafDN7NvvUJ0w_19_0"/>
      <w:bookmarkStart w:id="283" w:name="Tc_GeCG9lIKA0GcJn1pz0Y_hA_18_0"/>
      <w:bookmarkStart w:id="284" w:name="_25294f79_4dfb_4144_845e_c547adeec5e9"/>
      <w:bookmarkStart w:id="285" w:name="Tc_3IHLw6Wu70Kb8ZsBbx15cg_17_0"/>
      <w:bookmarkStart w:id="286" w:name="Tc_hLFysYoT7EqGslmGBx_o7A_16_0"/>
      <w:bookmarkStart w:id="287" w:name="Tc_qm5BP7zQbEKvyWZEXmRV1A_15_0"/>
      <w:bookmarkStart w:id="288" w:name="Tc_mZxxiEjOhEqJ8VGZsmJ4fw_14_0"/>
      <w:bookmarkStart w:id="289" w:name="Tc_fVDYKeweEk-L-ToSTVW6cg_13_0"/>
      <w:bookmarkStart w:id="290" w:name="Tc_FtSpVukDc0-ILqSyzpV4sQ_12_0"/>
      <w:bookmarkStart w:id="291" w:name="Tc_DvUNHuUvsEudje-SsufUZg_11_0"/>
      <w:bookmarkStart w:id="292" w:name="Tc_ucRZgrT2mEy-hkZtFYrKPg_10_0"/>
      <w:bookmarkStart w:id="293" w:name="Tc_hM5aXSexxkCieZhOriU9uw_9_0"/>
      <w:bookmarkStart w:id="294" w:name="Tc_YBKe22xPQk2ZLnhRCc0BvA_8_0"/>
      <w:bookmarkStart w:id="295" w:name="Tc_SQwCVMWYI0Sx7P9KtFAkrA_7_0"/>
      <w:bookmarkStart w:id="296" w:name="Tc_GGjV8gVKK06hs-yd7-g_jQ_6_0"/>
      <w:bookmarkStart w:id="297" w:name="Tc_XrRSW0JgVUu-ZTHbEyWLdg_5_0"/>
      <w:bookmarkStart w:id="298" w:name="Tc_flrPS7VhIk6OhT2zKPuc-g_4_5"/>
      <w:bookmarkStart w:id="299" w:name="Tc_BxUtNXZ0vEaidG3qs3H6oA_4_2"/>
      <w:bookmarkStart w:id="300" w:name="Tc_CcQsxaemU02QUf4Y0LdAgA_4_0"/>
      <w:bookmarkStart w:id="301" w:name="Tc_1_rHi9OTSkS5PD1VBW8xjA_3_0"/>
      <w:bookmarkStart w:id="302" w:name="Tc_wsScaAngUUWEtjmtYZEv0A_2_5"/>
      <w:bookmarkStart w:id="303" w:name="Tc_30Bd4PMidkOQC3UBEv3Nzw_2_2"/>
      <w:bookmarkStart w:id="304" w:name="Tc_boi0KbR5f0mithG1nC_3MA_1_2"/>
      <w:bookmarkStart w:id="305" w:name="_fc150ba3_0ba0_43bc_a186_2f7051fafef7"/>
      <w:bookmarkStart w:id="306" w:name="Tc_TkhEgj1yUEe2EO1kmMh3lQ_38_5"/>
      <w:bookmarkStart w:id="307" w:name="Tc_bPlBKMmHlEatmP0iv25zVw_38_2"/>
      <w:bookmarkStart w:id="308" w:name="Tc_GjwJadaO_kqlv3jUiQxRtw_38_0"/>
      <w:bookmarkStart w:id="309" w:name="Tc_b4rYxeuNdUSZ7-s_aHy-IA_37_0"/>
      <w:bookmarkStart w:id="310" w:name="Tc_LTvqMQonIEqmdaPPE8fhEg_36_0"/>
      <w:bookmarkStart w:id="311" w:name="Tc_fsHY6kbg0U6YDPbbS8RzfQ_35_0"/>
      <w:bookmarkStart w:id="312" w:name="Tc_GUHzJfHLkk2jom5ZRs7SRA_34_3"/>
      <w:bookmarkStart w:id="313" w:name="Tc_eXblv2RcaUW0MW5M1W45sw_34_0"/>
      <w:bookmarkStart w:id="314" w:name="Tc_WyZuBZ3CZUyfgFD1QIjrKQ_33_0"/>
      <w:bookmarkStart w:id="315" w:name="Tc_Xp4UfN3P1EW-4RdH8oOdrg_32_0"/>
      <w:bookmarkStart w:id="316" w:name="Tc_LQ-YqZ4tiEysMrSHRDqwaw_31_0"/>
      <w:bookmarkStart w:id="317" w:name="Tc_ogfr5Pwn2E6MFbpfF54gLg_30_0"/>
      <w:bookmarkStart w:id="318" w:name="Tc_KgiKZFygEkOIUXuUT8Lz7Q_29_0"/>
      <w:bookmarkStart w:id="319" w:name="Tc_C12xnAsc00K8mthK_2oNfw_28_0"/>
      <w:bookmarkStart w:id="320" w:name="Tc_kFnjMpsNpUyyMZyjjAXrFA_27_0"/>
      <w:bookmarkStart w:id="321" w:name="Tc_B-vjaPO9Bk2PgMw_ODo3sQ_26_0"/>
      <w:bookmarkStart w:id="322" w:name="Tc_jueSn3qg6kefYyAvPXRt4g_25_0"/>
      <w:bookmarkStart w:id="323" w:name="Tc_D0oGFXql60mBeSghpLsslQ_24_0"/>
      <w:bookmarkStart w:id="324" w:name="Tc_o5aeBgDuV0qT_CmXZ17d5g_23_0"/>
      <w:bookmarkStart w:id="325" w:name="Tc_bJoo4XznnEupuODtVI66Dg_22_0"/>
      <w:bookmarkStart w:id="326" w:name="Tc_B9jSKrpx3k6gPAf4fYiDbg_21_0"/>
      <w:bookmarkStart w:id="327" w:name="Tc_gx6Kc86pA0mhDJUunbl2rA_20_0"/>
      <w:bookmarkStart w:id="328" w:name="Tc_OabVWZDD_UafDN7NvvUJ0w_19_0"/>
      <w:bookmarkStart w:id="329" w:name="Tc_GeCG9lIKA0GcJn1pz0Y_hA_18_0"/>
      <w:bookmarkStart w:id="330" w:name="_25294f79_4dfb_4144_845e_c547adeec5e9"/>
      <w:bookmarkStart w:id="331" w:name="Tc_3IHLw6Wu70Kb8ZsBbx15cg_17_0"/>
      <w:bookmarkStart w:id="332" w:name="Tc_hLFysYoT7EqGslmGBx_o7A_16_0"/>
      <w:bookmarkStart w:id="333" w:name="Tc_qm5BP7zQbEKvyWZEXmRV1A_15_0"/>
      <w:bookmarkStart w:id="334" w:name="Tc_mZxxiEjOhEqJ8VGZsmJ4fw_14_0"/>
      <w:bookmarkStart w:id="335" w:name="Tc_fVDYKeweEk-L-ToSTVW6cg_13_0"/>
      <w:bookmarkStart w:id="336" w:name="Tc_FtSpVukDc0-ILqSyzpV4sQ_12_0"/>
      <w:bookmarkStart w:id="337" w:name="Tc_DvUNHuUvsEudje-SsufUZg_11_0"/>
      <w:bookmarkStart w:id="338" w:name="Tc_ucRZgrT2mEy-hkZtFYrKPg_10_0"/>
      <w:bookmarkStart w:id="339" w:name="Tc_hM5aXSexxkCieZhOriU9uw_9_0"/>
      <w:bookmarkStart w:id="340" w:name="Tc_YBKe22xPQk2ZLnhRCc0BvA_8_0"/>
      <w:bookmarkStart w:id="341" w:name="Tc_SQwCVMWYI0Sx7P9KtFAkrA_7_0"/>
      <w:bookmarkStart w:id="342" w:name="Tc_GGjV8gVKK06hs-yd7-g_jQ_6_0"/>
      <w:bookmarkStart w:id="343" w:name="Tc_XrRSW0JgVUu-ZTHbEyWLdg_5_0"/>
      <w:bookmarkStart w:id="344" w:name="Tc_flrPS7VhIk6OhT2zKPuc-g_4_5"/>
      <w:bookmarkStart w:id="345" w:name="Tc_BxUtNXZ0vEaidG3qs3H6oA_4_2"/>
      <w:bookmarkStart w:id="346" w:name="Tc_CcQsxaemU02QUf4Y0LdAgA_4_0"/>
      <w:bookmarkStart w:id="347" w:name="Tc_1_rHi9OTSkS5PD1VBW8xjA_3_0"/>
      <w:bookmarkStart w:id="348" w:name="Tc_wsScaAngUUWEtjmtYZEv0A_2_5"/>
      <w:bookmarkStart w:id="349" w:name="Tc_30Bd4PMidkOQC3UBEv3Nzw_2_2"/>
      <w:bookmarkStart w:id="350" w:name="Tc_boi0KbR5f0mithG1nC_3MA_1_2"/>
      <w:bookmarkStart w:id="351" w:name="_fc150ba3_0ba0_43bc_a186_2f7051fafef7"/>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tbl>
      <w:tblPr>
        <w:tblW w:w="8303" w:type="dxa"/>
        <w:jc w:val="left"/>
        <w:tblInd w:w="0" w:type="dxa"/>
        <w:tblLayout w:type="fixed"/>
        <w:tblCellMar>
          <w:top w:w="0" w:type="dxa"/>
          <w:left w:w="0" w:type="dxa"/>
          <w:bottom w:w="0" w:type="dxa"/>
          <w:right w:w="0" w:type="dxa"/>
        </w:tblCellMar>
      </w:tblPr>
      <w:tblGrid>
        <w:gridCol w:w="5551"/>
        <w:gridCol w:w="346"/>
        <w:gridCol w:w="218"/>
        <w:gridCol w:w="715"/>
        <w:gridCol w:w="358"/>
        <w:gridCol w:w="218"/>
        <w:gridCol w:w="560"/>
        <w:gridCol w:w="146"/>
        <w:gridCol w:w="191"/>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524885" cy="175260"/>
                      <wp:effectExtent l="0" t="0" r="0" b="0"/>
                      <wp:wrapNone/>
                      <wp:docPr id="43" name="Frame42"/>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8430" cy="175260"/>
                      <wp:effectExtent l="0" t="0" r="0" b="0"/>
                      <wp:wrapNone/>
                      <wp:docPr id="45" name="Frame44"/>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54025" cy="175260"/>
                      <wp:effectExtent l="0" t="0" r="0" b="0"/>
                      <wp:wrapNone/>
                      <wp:docPr id="46" name="Frame45"/>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27330" cy="175260"/>
                      <wp:effectExtent l="0" t="0" r="0" b="0"/>
                      <wp:wrapNone/>
                      <wp:docPr id="47" name="Frame46"/>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8430" cy="175260"/>
                      <wp:effectExtent l="0" t="0" r="0" b="0"/>
                      <wp:wrapNone/>
                      <wp:docPr id="48" name="Frame4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55600" cy="175260"/>
                      <wp:effectExtent l="0" t="0" r="0" b="0"/>
                      <wp:wrapNone/>
                      <wp:docPr id="49" name="Frame48"/>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2710" cy="175260"/>
                      <wp:effectExtent l="0" t="0" r="0" b="0"/>
                      <wp:wrapNone/>
                      <wp:docPr id="50" name="Frame4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1285" cy="175260"/>
                      <wp:effectExtent l="0" t="0" r="0" b="0"/>
                      <wp:wrapNone/>
                      <wp:docPr id="51" name="Frame5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8" w:type="dxa"/>
            <w:tcBorders/>
            <w:vAlign w:val="center"/>
          </w:tcPr>
          <w:p>
            <w:pPr>
              <w:pStyle w:val="TableContents"/>
              <w:bidi w:val="0"/>
              <w:spacing w:before="0" w:after="0"/>
              <w:ind w:left="0" w:right="0" w:hanging="0"/>
              <w:jc w:val="left"/>
              <w:rPr/>
            </w:pPr>
            <w:r>
              <w:rPr/>
              <w:t>  ​ ​ ​</w:t>
            </w:r>
          </w:p>
        </w:tc>
        <w:tc>
          <w:tcPr>
            <w:tcW w:w="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charges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Goodwill impairment </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European valuation allowance on deferred tax assets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asset impairment and 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 of joint venture and miscellaneous assets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Legacy environmental charge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715"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71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restructuring activities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components of working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net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utilized in operating activities </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proceeds on sale of joint venture and miscellaneous assets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payments from hedging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utilized in investing activities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long-term debt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short-term loans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finance fees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repurchased</w:t>
            </w:r>
          </w:p>
        </w:tc>
        <w:tc>
          <w:tcPr>
            <w:tcW w:w="34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righ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8"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receipts (payments) for hedging activity</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non-controlling interests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net</w:t>
            </w:r>
            <w:r>
              <w:rPr>
                <w:rFonts w:ascii="Times New Roman;Times;serif" w:hAnsi="Times New Roman;Times;serif"/>
                <w:sz w:val="15"/>
              </w:rPr>
              <w:t>(b)</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utilized in financing activities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 </w:t>
            </w:r>
          </w:p>
        </w:tc>
        <w:tc>
          <w:tcPr>
            <w:tcW w:w="715"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fluctuations on cash</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cash</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14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end of period</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14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Normal"/>
        <w:bidi w:val="0"/>
        <w:spacing w:before="0" w:after="0"/>
        <w:jc w:val="left"/>
        <w:rPr>
          <w:sz w:val="4"/>
          <w:szCs w:val="4"/>
        </w:rPr>
      </w:pPr>
      <w:r>
        <w:rPr>
          <w:sz w:val="4"/>
          <w:szCs w:val="4"/>
        </w:rPr>
      </w:r>
      <w:bookmarkStart w:id="352" w:name="_c7cf1fa6_5276_48c5_97c6_f7c5bd0f478f"/>
      <w:bookmarkStart w:id="353" w:name="_c7cf1fa6_5276_48c5_97c6_f7c5bd0f478f"/>
      <w:bookmarkEnd w:id="353"/>
    </w:p>
    <w:tbl>
      <w:tblPr>
        <w:tblW w:w="8402" w:type="dxa"/>
        <w:jc w:val="left"/>
        <w:tblInd w:w="0" w:type="dxa"/>
        <w:tblLayout w:type="fixed"/>
        <w:tblCellMar>
          <w:top w:w="0" w:type="dxa"/>
          <w:left w:w="0" w:type="dxa"/>
          <w:bottom w:w="0" w:type="dxa"/>
          <w:right w:w="0" w:type="dxa"/>
        </w:tblCellMar>
      </w:tblPr>
      <w:tblGrid>
        <w:gridCol w:w="331"/>
        <w:gridCol w:w="807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 includes other non-cash charges plus other changes in non-current assets and liabilities.</w:t>
            </w:r>
          </w:p>
        </w:tc>
      </w:tr>
    </w:tbl>
    <w:tbl>
      <w:tblPr>
        <w:tblW w:w="4097" w:type="dxa"/>
        <w:jc w:val="left"/>
        <w:tblInd w:w="0" w:type="dxa"/>
        <w:tblLayout w:type="fixed"/>
        <w:tblCellMar>
          <w:top w:w="0" w:type="dxa"/>
          <w:left w:w="0" w:type="dxa"/>
          <w:bottom w:w="0" w:type="dxa"/>
          <w:right w:w="0" w:type="dxa"/>
        </w:tblCellMar>
      </w:tblPr>
      <w:tblGrid>
        <w:gridCol w:w="346"/>
        <w:gridCol w:w="37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 includes share settlement activity.</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center"/>
        <w:rPr>
          <w:rFonts w:ascii="Times New Roman;Times;serif" w:hAnsi="Times New Roman;Times;serif"/>
          <w:sz w:val="20"/>
        </w:rPr>
      </w:pPr>
      <w:bookmarkStart w:id="354" w:name="_8442e631_7130_4986_8dda_8af80e71df0e"/>
      <w:bookmarkEnd w:id="354"/>
      <w:r>
        <w:rPr>
          <w:rFonts w:ascii="Times New Roman;Times;serif" w:hAnsi="Times New Roman;Times;serif"/>
          <w:sz w:val="20"/>
        </w:rPr>
        <w:t>O-I GLASS, INC.</w:t>
      </w:r>
    </w:p>
    <w:p>
      <w:pPr>
        <w:pStyle w:val="TextBody"/>
        <w:bidi w:val="0"/>
        <w:spacing w:before="0" w:after="0"/>
        <w:ind w:left="0" w:right="0" w:hanging="0"/>
        <w:jc w:val="center"/>
        <w:rPr>
          <w:rFonts w:ascii="Times New Roman;Times;serif" w:hAnsi="Times New Roman;Times;serif"/>
          <w:sz w:val="20"/>
        </w:rPr>
      </w:pPr>
      <w:bookmarkStart w:id="355" w:name="NOTESTOCONDENSEDCONSOLIDATEDFINANCIALSTA"/>
      <w:bookmarkEnd w:id="355"/>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Tabular data dollars in millions, except per share amounts</w:t>
      </w:r>
    </w:p>
    <w:p>
      <w:pPr>
        <w:pStyle w:val="TextBody"/>
        <w:bidi w:val="0"/>
        <w:spacing w:before="0" w:after="0"/>
        <w:ind w:left="0" w:right="0" w:hanging="0"/>
        <w:jc w:val="center"/>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1. Segment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two reportable segments and two operating segments based on its geographic locations: the Americas and Europe. These two segments are aligned with the Company’s internal approach to managing, reporting, and evaluating performance of its global glass operations. Certain assets and activities not directly related to one of the segments or to glass manufacturing are reported within Retained corporate costs and other. These include licensing, equipment manufacturing, global engineering, certain equity investments and certain minor businesses in the Asia Pacific region. Retained corporate costs and other also includes certain headquarters administrative and facilities costs and certain incentive compensation and other benefit plan costs that are global in nature and are not allocable to the reportable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measure of profit for its reportable segments is segment operating profit, which is a non-GAAP financial measure that consists of consolidated earnings before interest income, interest expense, and provision for income taxes and excludes amounts related to certain items that management considers not representative of ongoing operations and other adjustments, as well as certain retained corporate costs. The Company’s management, including the chief operating decision maker (defined as the Chief Executive Officer), uses segment operating profit, supplemented by net sales and selected cash flow information, to evaluate segment performance and allocate resources. Segment operating profit for reportable segments includes an allocation of some corporate expenses based on both a percentage of sales and direct billings based on the costs of specific services provided. Segment operating profit is not a recognized term under accounting principles generally accepted in the United States (“U.S. GAAP”) and, therefore, does not purport to be an alternative to earnings (loss) before income taxes. Further, the Company’s measure of segment operating profit may not be comparable to similarly titled measures used by other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ASU 2023-07, “Segment Reporting (Topic 280): Improvements to Reportable Segment Disclosures,” the Company has disclosed significant segment expenses reviewed by its chief operating decision maker. Other segment expenses (income) includes intangible amortization expense (Americas only), foreign currency exchange gains or losses, certain overhead expenses and other gains or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firstLine="360"/>
        <w:jc w:val="left"/>
        <w:rPr>
          <w:rFonts w:ascii="Times New Roman;Times;serif" w:hAnsi="Times New Roman;Times;serif"/>
          <w:sz w:val="20"/>
        </w:rPr>
      </w:pPr>
      <w:bookmarkStart w:id="356" w:name="Tc_eZCkJH1jkE6ZrFCp4ZvBCw_22_17"/>
      <w:bookmarkStart w:id="357" w:name="Tc_qoIhrJh0lEutQ978iH2mmA_22_8"/>
      <w:bookmarkStart w:id="358" w:name="Tc_ubAayAyDP060FDCplEBHeA_22_0"/>
      <w:bookmarkStart w:id="359" w:name="Tc_e5Fo26mg0k6IzAIVdUu5lA_21_0"/>
      <w:bookmarkStart w:id="360" w:name="Tc_G3whbHQ-Mkyti2SYgSVxsQ_20_0"/>
      <w:bookmarkStart w:id="361" w:name="Tc_B1SnkKmXdkeuE_0nMOhxyQ_19_0"/>
      <w:bookmarkStart w:id="362" w:name="Tc_fnrNfbpH8E2tyF1z0MFAng_18_0"/>
      <w:bookmarkStart w:id="363" w:name="Tc_QS519tWr3EyjTui0G1DszQ_17_0"/>
      <w:bookmarkStart w:id="364" w:name="Tc_kC0yvy2e50OHMCgfxgqwRQ_16_0"/>
      <w:bookmarkStart w:id="365" w:name="Tc_0fS--U96ukaCDFzBJ52c5Q_15_0"/>
      <w:bookmarkStart w:id="366" w:name="Tc_CHNC21k-q0aC_q1Ve8xreg_14_0"/>
      <w:bookmarkStart w:id="367" w:name="Tc_UTudzlYlhkuc2Tr-BB537Q_13_17"/>
      <w:bookmarkStart w:id="368" w:name="Tc_Cphchts6B06xskqOwHzxhQ_13_14"/>
      <w:bookmarkStart w:id="369" w:name="Tc_HufHlRAxFEazUDzkP2bWtg_13_11"/>
      <w:bookmarkStart w:id="370" w:name="Tc_9w5akakI_UWLY5-GfJ0RVw_13_8"/>
      <w:bookmarkStart w:id="371" w:name="Tc_dpXwEEtA5EquWNGh1s0RXw_13_5"/>
      <w:bookmarkStart w:id="372" w:name="Tc_k9G9fjV-KEO_RnKOGIDn6g_13_2"/>
      <w:bookmarkStart w:id="373" w:name="Tc_sJhYnTdV2k2ayqtq9YxNsA_13_0"/>
      <w:bookmarkStart w:id="374" w:name="Tc_NHwvc3ghFU2to2Vl9O5QnQ_12_0"/>
      <w:bookmarkStart w:id="375" w:name="Tc_SYMEPDygl06iBr098fVpKQ_11_0"/>
      <w:bookmarkStart w:id="376" w:name="Tc_Go-xIgcM8U-eBjgP2gi0gw_10_0"/>
      <w:bookmarkStart w:id="377" w:name="Tc_R4OuI7mvEkmMTii4yLlSQA_9_0"/>
      <w:bookmarkStart w:id="378" w:name="Tc_b7Xw1yJIKE2vIBIHLwdCcQ_8_0"/>
      <w:bookmarkStart w:id="379" w:name="Tc_KDaFpt-PpEWp_Woeitn06w_6_17"/>
      <w:bookmarkStart w:id="380" w:name="Tc_hkl3sN-qpEqP_uQilUE9iA_6_0"/>
      <w:bookmarkStart w:id="381" w:name="Tc_90FfTmeOkkSt2hQxTE9CgA_5_0"/>
      <w:bookmarkStart w:id="382" w:name="Tc_MTs62m3-pUe5pA_DctRpfw_4_17"/>
      <w:bookmarkStart w:id="383" w:name="Tc_JnC2Ub1fGU-F9IkAfbvDww_4_14"/>
      <w:bookmarkStart w:id="384" w:name="Tc_UpMg2ws6rUqqqX6LscxpwQ_4_11"/>
      <w:bookmarkStart w:id="385" w:name="Tc_ayf6NjkuoUeaqJLnW6NWFw_4_8"/>
      <w:bookmarkStart w:id="386" w:name="Tc_jaDcBad-gEaGKtFGtJe2rw_4_5"/>
      <w:bookmarkStart w:id="387" w:name="Tc_FITaCDdj_k-oqXKtokb79Q_4_2"/>
      <w:bookmarkStart w:id="388" w:name="Tc_LivYejrI4Uqzf4agqQUr2w_4_0"/>
      <w:bookmarkStart w:id="389" w:name="Tc_0-DeRCvq8kSwoLlpdmylyQ_3_18"/>
      <w:bookmarkStart w:id="390" w:name="Tc_U5KUgd37yUae_OdH7vHKag_3_15"/>
      <w:bookmarkStart w:id="391" w:name="Tc_G4FgTXfL402bxdSliWYMIg_3_12"/>
      <w:bookmarkStart w:id="392" w:name="Tc_3FPfwCCLlk6Ylc5nUTiqxQ_3_9"/>
      <w:bookmarkStart w:id="393" w:name="Tc_zjvs1kGLg0SsFSc7rVgTeQ_3_6"/>
      <w:bookmarkStart w:id="394" w:name="Tc_lSSpSgCKZEecqMlX9VL5og_3_3"/>
      <w:bookmarkStart w:id="395" w:name="Tc_-05uW-4_E0GXteXCY7Kn7Q_2_11"/>
      <w:bookmarkStart w:id="396" w:name="Tc_r4noKapTBk-9O2sVdXyI1Q_2_2"/>
      <w:bookmarkStart w:id="397" w:name="Tc_70mzjCTjMka99qEmTIK2rw_1_2"/>
      <w:bookmarkStart w:id="398" w:name="Tc_RZINsxe5eUm4lNvraysZVw_20_17"/>
      <w:bookmarkStart w:id="399" w:name="Tc_mEcEfyIm-02-_WVyStdn3g_20_8"/>
      <w:bookmarkStart w:id="400" w:name="Tc_RSA46fp_ME6XzRFB1Y3Rcg_20_0"/>
      <w:bookmarkStart w:id="401" w:name="Tc_g3j7A-pj-Eu86PjlXUB68A_19_0"/>
      <w:bookmarkStart w:id="402" w:name="Tc_Ts98h-HshEyEz7zD627zzw_18_0"/>
      <w:bookmarkStart w:id="403" w:name="Tc_j7nBv-k0xUqBVU4VB5rhXA_17_0"/>
      <w:bookmarkStart w:id="404" w:name="Tc_W1tja5ucdEKssibT7ojbeA_16_0"/>
      <w:bookmarkStart w:id="405" w:name="Tc_q4OQYBKCgEuYN-EFwPEqZQ_15_0"/>
      <w:bookmarkStart w:id="406" w:name="Tc_YNqw4_udfkKgB-G3kTWIew_14_0"/>
      <w:bookmarkStart w:id="407" w:name="Tc_ekmwibyHvE-PQXMMaKpD3w_13_0"/>
      <w:bookmarkStart w:id="408" w:name="Tc_hKzatXYgSUmZwcfwzG9i6Q_12_17"/>
      <w:bookmarkStart w:id="409" w:name="Tc_Pw4ohXVRqECMkI9TL8Rfdg_12_14"/>
      <w:bookmarkStart w:id="410" w:name="Tc_XRtl99dPCUWJEUEUFydN6w_12_11"/>
      <w:bookmarkStart w:id="411" w:name="Tc_BgRRPyY7KEyw3esAIu47_A_12_8"/>
      <w:bookmarkStart w:id="412" w:name="Tc_kE4H7f4VJkmECSACQWv8KA_12_5"/>
      <w:bookmarkStart w:id="413" w:name="Tc_vfmOwXzR70mNSGx4TFEnpw_12_2"/>
      <w:bookmarkStart w:id="414" w:name="Tc_ySOAUNivP0aBPicaZ7PTRg_12_0"/>
      <w:bookmarkStart w:id="415" w:name="Tc_EUPw0kDjZUaOWpRxRZs7WA_11_0"/>
      <w:bookmarkStart w:id="416" w:name="Tc_GjcC3ushcUmyDJge9dTGvQ_10_0"/>
      <w:bookmarkStart w:id="417" w:name="Tc_c4sxUm4BpUSd60rG5bYcuA_9_0"/>
      <w:bookmarkStart w:id="418" w:name="Tc_brz7PQDWuEKoSYk_ciE2IQ_8_0"/>
      <w:bookmarkStart w:id="419" w:name="Tc_Bb_cj63bP0-jEiipIyyjXQ_7_0"/>
      <w:bookmarkStart w:id="420" w:name="Tc_UQwnZh7kbk-DDPPf0AYphQ_6_17"/>
      <w:bookmarkStart w:id="421" w:name="Tc_-bn1j4NzxUyVh_gewgkhqA_6_8"/>
      <w:bookmarkStart w:id="422" w:name="Tc_Kr4zAAPp5E2vVUNv_Oa5Tg_6_0"/>
      <w:bookmarkStart w:id="423" w:name="Tc_suvofGahNU23ALF1m8GFYA_5_0"/>
      <w:bookmarkStart w:id="424" w:name="Tc_Ibrdh4sME0SiG5DSeto1uA_4_17"/>
      <w:bookmarkStart w:id="425" w:name="Tc_r6ezig8i2k2K_DF0WGSQng_4_14"/>
      <w:bookmarkStart w:id="426" w:name="Tc_0GP85_MwWkChRCAnqbu2jA_4_11"/>
      <w:bookmarkStart w:id="427" w:name="Tc_TOteSIIlGkWxqaTG8vhyZA_4_8"/>
      <w:bookmarkStart w:id="428" w:name="Tc_4Fj3mp6ce0WjyJwhQ10vSQ_4_5"/>
      <w:bookmarkStart w:id="429" w:name="Tc_eZdyRsCXGUeeO7hj2FBH9Q_4_2"/>
      <w:bookmarkStart w:id="430" w:name="Tc_XJVtY54YC0aZNsnE46SS9Q_4_0"/>
      <w:bookmarkStart w:id="431" w:name="Tc_AvOJcDVqJkuiYzYvPIDvxA_3_18"/>
      <w:bookmarkStart w:id="432" w:name="Tc_kVbneBHxREulOAdyKOthDw_3_15"/>
      <w:bookmarkStart w:id="433" w:name="Tc_y6_swlg2aUWErzbA0LW3Vg_3_12"/>
      <w:bookmarkStart w:id="434" w:name="Tc_2YNVoZsOlkqoe2aJ3Jz7bw_3_9"/>
      <w:bookmarkStart w:id="435" w:name="Tc_oej9Sq3Sx06njKJr-SYNHg_3_6"/>
      <w:bookmarkStart w:id="436" w:name="Tc_eHvVm6pRF0yUioBOM-WvCA_3_3"/>
      <w:bookmarkStart w:id="437" w:name="Tc_U4VI1MJ8_kuxCJMa0bLTFQ_2_11"/>
      <w:bookmarkStart w:id="438" w:name="Tc_jPx52bHXTkCYpMe617HUlw_2_2"/>
      <w:bookmarkStart w:id="439" w:name="Tc_f1yCcQ-GrkyQ_EwcT7-tgQ_1_2"/>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rPr>
          <w:rFonts w:ascii="Times New Roman;Times;serif" w:hAnsi="Times New Roman;Times;serif"/>
          <w:sz w:val="20"/>
        </w:rPr>
        <w:t>Financial information for the three months ended June 30, 2026 and 2025 regarding the Company’s reportable segments is as follows, as well as a reconciliation of segment operating profit to earnings (loss) before income taxes: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52"/>
        <w:gridCol w:w="346"/>
        <w:gridCol w:w="211"/>
        <w:gridCol w:w="781"/>
        <w:gridCol w:w="346"/>
        <w:gridCol w:w="211"/>
        <w:gridCol w:w="631"/>
        <w:gridCol w:w="346"/>
        <w:gridCol w:w="211"/>
        <w:gridCol w:w="571"/>
        <w:gridCol w:w="346"/>
        <w:gridCol w:w="211"/>
        <w:gridCol w:w="781"/>
        <w:gridCol w:w="346"/>
        <w:gridCol w:w="211"/>
        <w:gridCol w:w="631"/>
        <w:gridCol w:w="346"/>
        <w:gridCol w:w="211"/>
        <w:gridCol w:w="616"/>
      </w:tblGrid>
      <w:tr>
        <w:trPr/>
        <w:tc>
          <w:tcPr>
            <w:tcW w:w="2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11020" cy="175895"/>
                      <wp:effectExtent l="0" t="0" r="0" b="0"/>
                      <wp:wrapNone/>
                      <wp:docPr id="52" name="Frame51"/>
                      <a:graphic xmlns:a="http://schemas.openxmlformats.org/drawingml/2006/main">
                        <a:graphicData uri="http://schemas.microsoft.com/office/word/2010/wordprocessingShape">
                          <wps:wsp>
                            <wps:cNvSpPr txBox="1"/>
                            <wps:spPr>
                              <a:xfrm>
                                <a:off x="0" y="0"/>
                                <a:ext cx="181102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895"/>
                      <wp:effectExtent l="0" t="0" r="0" b="0"/>
                      <wp:wrapNone/>
                      <wp:docPr id="53" name="Frame5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895"/>
                      <wp:effectExtent l="0" t="0" r="0" b="0"/>
                      <wp:wrapNone/>
                      <wp:docPr id="54" name="Frame5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5935" cy="175895"/>
                      <wp:effectExtent l="0" t="0" r="0" b="0"/>
                      <wp:wrapNone/>
                      <wp:docPr id="55" name="Frame54"/>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895"/>
                      <wp:effectExtent l="0" t="0" r="0" b="0"/>
                      <wp:wrapNone/>
                      <wp:docPr id="56" name="Frame5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895"/>
                      <wp:effectExtent l="0" t="0" r="0" b="0"/>
                      <wp:wrapNone/>
                      <wp:docPr id="57" name="Frame5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00685" cy="175895"/>
                      <wp:effectExtent l="0" t="0" r="0" b="0"/>
                      <wp:wrapNone/>
                      <wp:docPr id="58" name="Frame57"/>
                      <a:graphic xmlns:a="http://schemas.openxmlformats.org/drawingml/2006/main">
                        <a:graphicData uri="http://schemas.microsoft.com/office/word/2010/wordprocessingShape">
                          <wps:wsp>
                            <wps:cNvSpPr txBox="1"/>
                            <wps:spPr>
                              <a:xfrm>
                                <a:off x="0" y="0"/>
                                <a:ext cx="4006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895"/>
                      <wp:effectExtent l="0" t="0" r="0" b="0"/>
                      <wp:wrapNone/>
                      <wp:docPr id="59" name="Frame5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895"/>
                      <wp:effectExtent l="0" t="0" r="0" b="0"/>
                      <wp:wrapNone/>
                      <wp:docPr id="60" name="Frame5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2585" cy="175895"/>
                      <wp:effectExtent l="0" t="0" r="0" b="0"/>
                      <wp:wrapNone/>
                      <wp:docPr id="61" name="Frame60"/>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895"/>
                      <wp:effectExtent l="0" t="0" r="0" b="0"/>
                      <wp:wrapNone/>
                      <wp:docPr id="62" name="Frame6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895"/>
                      <wp:effectExtent l="0" t="0" r="0" b="0"/>
                      <wp:wrapNone/>
                      <wp:docPr id="63" name="Frame6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95935" cy="175895"/>
                      <wp:effectExtent l="0" t="0" r="0" b="0"/>
                      <wp:wrapNone/>
                      <wp:docPr id="64" name="Frame63"/>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895"/>
                      <wp:effectExtent l="0" t="0" r="0" b="0"/>
                      <wp:wrapNone/>
                      <wp:docPr id="65" name="Frame6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895"/>
                      <wp:effectExtent l="0" t="0" r="0" b="0"/>
                      <wp:wrapNone/>
                      <wp:docPr id="66" name="Frame6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00685" cy="175895"/>
                      <wp:effectExtent l="0" t="0" r="0" b="0"/>
                      <wp:wrapNone/>
                      <wp:docPr id="67" name="Frame66"/>
                      <a:graphic xmlns:a="http://schemas.openxmlformats.org/drawingml/2006/main">
                        <a:graphicData uri="http://schemas.microsoft.com/office/word/2010/wordprocessingShape">
                          <wps:wsp>
                            <wps:cNvSpPr txBox="1"/>
                            <wps:spPr>
                              <a:xfrm>
                                <a:off x="0" y="0"/>
                                <a:ext cx="4006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895"/>
                      <wp:effectExtent l="0" t="0" r="0" b="0"/>
                      <wp:wrapNone/>
                      <wp:docPr id="68" name="Frame6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895"/>
                      <wp:effectExtent l="0" t="0" r="0" b="0"/>
                      <wp:wrapNone/>
                      <wp:docPr id="69" name="Frame6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91160" cy="175895"/>
                      <wp:effectExtent l="0" t="0" r="0" b="0"/>
                      <wp:wrapNone/>
                      <wp:docPr id="70" name="Frame69"/>
                      <a:graphic xmlns:a="http://schemas.openxmlformats.org/drawingml/2006/main">
                        <a:graphicData uri="http://schemas.microsoft.com/office/word/2010/wordprocessingShape">
                          <wps:wsp>
                            <wps:cNvSpPr txBox="1"/>
                            <wps:spPr>
                              <a:xfrm>
                                <a:off x="0" y="0"/>
                                <a:ext cx="3911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2852"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7007" w:type="dxa"/>
            <w:gridSpan w:val="17"/>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r>
      <w:tr>
        <w:trPr/>
        <w:tc>
          <w:tcPr>
            <w:tcW w:w="2852"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3308" w:type="dxa"/>
            <w:gridSpan w:val="8"/>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0"/>
              <w:ind w:left="0" w:right="0" w:hanging="0"/>
              <w:jc w:val="center"/>
              <w:rPr/>
            </w:pPr>
            <w:r>
              <w:rPr/>
              <w:t>  ​ ​ ​</w:t>
            </w:r>
          </w:p>
        </w:tc>
        <w:tc>
          <w:tcPr>
            <w:tcW w:w="3353" w:type="dxa"/>
            <w:gridSpan w:val="8"/>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52"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left"/>
              <w:rPr/>
            </w:pPr>
            <w:r>
              <w:rPr/>
              <w:t>​</w:t>
            </w:r>
          </w:p>
        </w:tc>
        <w:tc>
          <w:tcPr>
            <w:tcW w:w="616"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Reportable segment net sales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1,684</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right"/>
              <w:rPr/>
            </w:pPr>
            <w:r>
              <w:rPr/>
              <w:t> </w:t>
            </w:r>
          </w:p>
        </w:tc>
        <w:tc>
          <w:tcPr>
            <w:tcW w:w="78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 </w:t>
            </w:r>
          </w:p>
        </w:tc>
        <w:tc>
          <w:tcPr>
            <w:tcW w:w="63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16" w:type="dxa"/>
            <w:tcBorders/>
            <w:vAlign w:val="center"/>
          </w:tcPr>
          <w:p>
            <w:pPr>
              <w:pStyle w:val="TableContents"/>
              <w:bidi w:val="0"/>
              <w:spacing w:before="1" w:after="0"/>
              <w:ind w:left="0" w:right="0" w:hanging="0"/>
              <w:jc w:val="left"/>
              <w:rPr/>
            </w:pPr>
            <w:r>
              <w:rPr/>
              <w:t>​</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772</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616" w:type="dxa"/>
            <w:tcBorders/>
            <w:shd w:fill="CCEEFF" w:val="clear"/>
            <w:vAlign w:val="center"/>
          </w:tcPr>
          <w:p>
            <w:pPr>
              <w:pStyle w:val="TableContents"/>
              <w:bidi w:val="0"/>
              <w:spacing w:before="1" w:after="0"/>
              <w:ind w:left="0" w:right="0" w:hanging="0"/>
              <w:jc w:val="right"/>
              <w:rPr/>
            </w:pPr>
            <w:r>
              <w:rPr/>
              <w:t>​</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Selling, administrative, engineering and research and development expenses</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63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57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7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63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616" w:type="dxa"/>
            <w:tcBorders/>
            <w:vAlign w:val="center"/>
          </w:tcPr>
          <w:p>
            <w:pPr>
              <w:pStyle w:val="TableContents"/>
              <w:bidi w:val="0"/>
              <w:spacing w:before="1" w:after="0"/>
              <w:ind w:left="0" w:right="0" w:hanging="0"/>
              <w:jc w:val="right"/>
              <w:rPr/>
            </w:pPr>
            <w:r>
              <w:rPr/>
              <w:t>​</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Equity earnings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616" w:type="dxa"/>
            <w:tcBorders/>
            <w:shd w:fill="CCEEFF" w:val="clear"/>
            <w:vAlign w:val="center"/>
          </w:tcPr>
          <w:p>
            <w:pPr>
              <w:pStyle w:val="TableContents"/>
              <w:bidi w:val="0"/>
              <w:spacing w:before="1" w:after="0"/>
              <w:ind w:left="0" w:right="0" w:hanging="0"/>
              <w:jc w:val="right"/>
              <w:rPr/>
            </w:pPr>
            <w:r>
              <w:rPr/>
              <w:t>​</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 segment expenses (income)</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616"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Segment operating profit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Items excluded from segment operating profit: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16" w:type="dxa"/>
            <w:tcBorders/>
            <w:vAlign w:val="center"/>
          </w:tcPr>
          <w:p>
            <w:pPr>
              <w:pStyle w:val="TableContents"/>
              <w:bidi w:val="0"/>
              <w:spacing w:before="1" w:after="0"/>
              <w:ind w:left="0" w:right="0" w:hanging="0"/>
              <w:jc w:val="left"/>
              <w:rPr/>
            </w:pPr>
            <w:r>
              <w:rPr/>
              <w:t>​</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i/>
                <w:sz w:val="20"/>
              </w:rPr>
            </w:pPr>
            <w:r>
              <w:rPr>
                <w:rFonts w:ascii="Times New Roman;Times;serif" w:hAnsi="Times New Roman;Times;serif"/>
                <w:i/>
                <w:sz w:val="20"/>
              </w:rPr>
              <w:t>Reconciliation of segment operating profit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16" w:type="dxa"/>
            <w:tcBorders/>
            <w:shd w:fill="CCEEFF" w:val="clear"/>
            <w:vAlign w:val="center"/>
          </w:tcPr>
          <w:p>
            <w:pPr>
              <w:pStyle w:val="TableContents"/>
              <w:bidi w:val="0"/>
              <w:spacing w:before="1" w:after="0"/>
              <w:ind w:left="0" w:right="0" w:hanging="0"/>
              <w:jc w:val="left"/>
              <w:rPr/>
            </w:pPr>
            <w:r>
              <w:rPr/>
              <w:t>​</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Retained corporate costs and other</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1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16" w:type="dxa"/>
            <w:tcBorders/>
            <w:shd w:fill="CCEEFF" w:val="clear"/>
            <w:vAlign w:val="center"/>
          </w:tcPr>
          <w:p>
            <w:pPr>
              <w:pStyle w:val="TableContents"/>
              <w:bidi w:val="0"/>
              <w:spacing w:before="1" w:after="0"/>
              <w:ind w:left="0" w:right="0" w:hanging="0"/>
              <w:jc w:val="right"/>
              <w:rPr/>
            </w:pPr>
            <w:r>
              <w:rPr/>
              <w:t>​</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 xml:space="preserve">Restructuring, asset impairment and other charges </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1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Gain on sale of joint venture and misc. assets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16" w:type="dxa"/>
            <w:tcBorders/>
            <w:shd w:fill="CCEEFF" w:val="clear"/>
            <w:vAlign w:val="center"/>
          </w:tcPr>
          <w:p>
            <w:pPr>
              <w:pStyle w:val="TableContents"/>
              <w:bidi w:val="0"/>
              <w:spacing w:before="1" w:after="0"/>
              <w:ind w:left="0" w:right="0" w:hanging="0"/>
              <w:jc w:val="right"/>
              <w:rPr/>
            </w:pPr>
            <w:r>
              <w:rPr/>
              <w:t>​</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Earnings (loss) before income taxes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(827)</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1" w:after="0"/>
              <w:ind w:left="0" w:right="60" w:hanging="0"/>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120" w:after="283"/>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information for the six months ended June 30, 2026 and 2025 regarding the Company’s reportable segments is as follows, as well as a reconciliation of segment operating profit to earnings (loss) before income taxes: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52"/>
        <w:gridCol w:w="346"/>
        <w:gridCol w:w="211"/>
        <w:gridCol w:w="781"/>
        <w:gridCol w:w="346"/>
        <w:gridCol w:w="211"/>
        <w:gridCol w:w="631"/>
        <w:gridCol w:w="346"/>
        <w:gridCol w:w="211"/>
        <w:gridCol w:w="571"/>
        <w:gridCol w:w="346"/>
        <w:gridCol w:w="211"/>
        <w:gridCol w:w="781"/>
        <w:gridCol w:w="346"/>
        <w:gridCol w:w="211"/>
        <w:gridCol w:w="631"/>
        <w:gridCol w:w="346"/>
        <w:gridCol w:w="211"/>
        <w:gridCol w:w="616"/>
      </w:tblGrid>
      <w:tr>
        <w:trPr/>
        <w:tc>
          <w:tcPr>
            <w:tcW w:w="2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11020" cy="175895"/>
                      <wp:effectExtent l="0" t="0" r="0" b="0"/>
                      <wp:wrapNone/>
                      <wp:docPr id="71" name="Frame70"/>
                      <a:graphic xmlns:a="http://schemas.openxmlformats.org/drawingml/2006/main">
                        <a:graphicData uri="http://schemas.microsoft.com/office/word/2010/wordprocessingShape">
                          <wps:wsp>
                            <wps:cNvSpPr txBox="1"/>
                            <wps:spPr>
                              <a:xfrm>
                                <a:off x="0" y="0"/>
                                <a:ext cx="181102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895"/>
                      <wp:effectExtent l="0" t="0" r="0" b="0"/>
                      <wp:wrapNone/>
                      <wp:docPr id="72" name="Frame7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895"/>
                      <wp:effectExtent l="0" t="0" r="0" b="0"/>
                      <wp:wrapNone/>
                      <wp:docPr id="73" name="Frame7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895"/>
                      <wp:effectExtent l="0" t="0" r="0" b="0"/>
                      <wp:wrapNone/>
                      <wp:docPr id="74" name="Frame73"/>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895"/>
                      <wp:effectExtent l="0" t="0" r="0" b="0"/>
                      <wp:wrapNone/>
                      <wp:docPr id="75" name="Frame7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895"/>
                      <wp:effectExtent l="0" t="0" r="0" b="0"/>
                      <wp:wrapNone/>
                      <wp:docPr id="76" name="Frame7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00685" cy="175895"/>
                      <wp:effectExtent l="0" t="0" r="0" b="0"/>
                      <wp:wrapNone/>
                      <wp:docPr id="77" name="Frame76"/>
                      <a:graphic xmlns:a="http://schemas.openxmlformats.org/drawingml/2006/main">
                        <a:graphicData uri="http://schemas.microsoft.com/office/word/2010/wordprocessingShape">
                          <wps:wsp>
                            <wps:cNvSpPr txBox="1"/>
                            <wps:spPr>
                              <a:xfrm>
                                <a:off x="0" y="0"/>
                                <a:ext cx="4006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895"/>
                      <wp:effectExtent l="0" t="0" r="0" b="0"/>
                      <wp:wrapNone/>
                      <wp:docPr id="78" name="Frame7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895"/>
                      <wp:effectExtent l="0" t="0" r="0" b="0"/>
                      <wp:wrapNone/>
                      <wp:docPr id="79" name="Frame7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62585" cy="175895"/>
                      <wp:effectExtent l="0" t="0" r="0" b="0"/>
                      <wp:wrapNone/>
                      <wp:docPr id="80" name="Frame79"/>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895"/>
                      <wp:effectExtent l="0" t="0" r="0" b="0"/>
                      <wp:wrapNone/>
                      <wp:docPr id="81" name="Frame8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895"/>
                      <wp:effectExtent l="0" t="0" r="0" b="0"/>
                      <wp:wrapNone/>
                      <wp:docPr id="82" name="Frame8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895"/>
                      <wp:effectExtent l="0" t="0" r="0" b="0"/>
                      <wp:wrapNone/>
                      <wp:docPr id="83" name="Frame82"/>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895"/>
                      <wp:effectExtent l="0" t="0" r="0" b="0"/>
                      <wp:wrapNone/>
                      <wp:docPr id="84" name="Frame8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895"/>
                      <wp:effectExtent l="0" t="0" r="0" b="0"/>
                      <wp:wrapNone/>
                      <wp:docPr id="85" name="Frame8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00685" cy="175895"/>
                      <wp:effectExtent l="0" t="0" r="0" b="0"/>
                      <wp:wrapNone/>
                      <wp:docPr id="86" name="Frame85"/>
                      <a:graphic xmlns:a="http://schemas.openxmlformats.org/drawingml/2006/main">
                        <a:graphicData uri="http://schemas.microsoft.com/office/word/2010/wordprocessingShape">
                          <wps:wsp>
                            <wps:cNvSpPr txBox="1"/>
                            <wps:spPr>
                              <a:xfrm>
                                <a:off x="0" y="0"/>
                                <a:ext cx="4006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895"/>
                      <wp:effectExtent l="0" t="0" r="0" b="0"/>
                      <wp:wrapNone/>
                      <wp:docPr id="87" name="Frame8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895"/>
                      <wp:effectExtent l="0" t="0" r="0" b="0"/>
                      <wp:wrapNone/>
                      <wp:docPr id="88" name="Frame8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91160" cy="175895"/>
                      <wp:effectExtent l="0" t="0" r="0" b="0"/>
                      <wp:wrapNone/>
                      <wp:docPr id="89" name="Frame88"/>
                      <a:graphic xmlns:a="http://schemas.openxmlformats.org/drawingml/2006/main">
                        <a:graphicData uri="http://schemas.microsoft.com/office/word/2010/wordprocessingShape">
                          <wps:wsp>
                            <wps:cNvSpPr txBox="1"/>
                            <wps:spPr>
                              <a:xfrm>
                                <a:off x="0" y="0"/>
                                <a:ext cx="3911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2852"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7007" w:type="dxa"/>
            <w:gridSpan w:val="17"/>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2852"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3308" w:type="dxa"/>
            <w:gridSpan w:val="8"/>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0"/>
              <w:ind w:left="0" w:right="0" w:hanging="0"/>
              <w:jc w:val="center"/>
              <w:rPr/>
            </w:pPr>
            <w:r>
              <w:rPr/>
              <w:t>  ​ ​ ​</w:t>
            </w:r>
          </w:p>
        </w:tc>
        <w:tc>
          <w:tcPr>
            <w:tcW w:w="3353" w:type="dxa"/>
            <w:gridSpan w:val="8"/>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52"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left"/>
              <w:rPr/>
            </w:pPr>
            <w:r>
              <w:rPr/>
              <w:t>​</w:t>
            </w:r>
          </w:p>
        </w:tc>
        <w:tc>
          <w:tcPr>
            <w:tcW w:w="616" w:type="dxa"/>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Reportable segment net sales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1,819</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1,359</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3,178</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1,816</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1,407</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3,223</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right"/>
              <w:rPr/>
            </w:pPr>
            <w:r>
              <w:rPr/>
              <w:t> </w:t>
            </w:r>
          </w:p>
        </w:tc>
        <w:tc>
          <w:tcPr>
            <w:tcW w:w="78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 </w:t>
            </w:r>
          </w:p>
        </w:tc>
        <w:tc>
          <w:tcPr>
            <w:tcW w:w="63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3,207</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3,273</w:t>
            </w:r>
          </w:p>
        </w:tc>
      </w:tr>
      <w:tr>
        <w:trPr/>
        <w:tc>
          <w:tcPr>
            <w:tcW w:w="2852"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16" w:type="dxa"/>
            <w:tcBorders/>
            <w:vAlign w:val="center"/>
          </w:tcPr>
          <w:p>
            <w:pPr>
              <w:pStyle w:val="TableContents"/>
              <w:bidi w:val="0"/>
              <w:spacing w:before="1" w:after="0"/>
              <w:ind w:left="0" w:right="0" w:hanging="0"/>
              <w:jc w:val="left"/>
              <w:rPr/>
            </w:pPr>
            <w:r>
              <w:rPr/>
              <w:t>​</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16" w:type="dxa"/>
            <w:tcBorders/>
            <w:shd w:fill="CCEEFF" w:val="clear"/>
            <w:vAlign w:val="center"/>
          </w:tcPr>
          <w:p>
            <w:pPr>
              <w:pStyle w:val="TableContents"/>
              <w:bidi w:val="0"/>
              <w:spacing w:before="1" w:after="0"/>
              <w:ind w:left="0" w:right="0" w:hanging="0"/>
              <w:jc w:val="left"/>
              <w:rPr/>
            </w:pPr>
            <w:r>
              <w:rPr/>
              <w:t>​</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63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57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7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1,475</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63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1,173</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616" w:type="dxa"/>
            <w:tcBorders/>
            <w:vAlign w:val="center"/>
          </w:tcPr>
          <w:p>
            <w:pPr>
              <w:pStyle w:val="TableContents"/>
              <w:bidi w:val="0"/>
              <w:spacing w:before="1" w:after="0"/>
              <w:ind w:left="0" w:right="0" w:hanging="0"/>
              <w:jc w:val="right"/>
              <w:rPr/>
            </w:pPr>
            <w:r>
              <w:rPr/>
              <w:t>​</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Selling, administrative, engineering and research and development expenses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78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63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616" w:type="dxa"/>
            <w:tcBorders/>
            <w:shd w:fill="CCEEFF" w:val="clear"/>
            <w:vAlign w:val="center"/>
          </w:tcPr>
          <w:p>
            <w:pPr>
              <w:pStyle w:val="TableContents"/>
              <w:bidi w:val="0"/>
              <w:spacing w:before="1" w:after="0"/>
              <w:ind w:left="0" w:right="0" w:hanging="0"/>
              <w:jc w:val="right"/>
              <w:rPr/>
            </w:pPr>
            <w:r>
              <w:rPr/>
              <w:t>​</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Equity earnings</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63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57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7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63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1" w:after="0"/>
              <w:ind w:left="0" w:right="0" w:hanging="0"/>
              <w:jc w:val="right"/>
              <w:rPr/>
            </w:pPr>
            <w:r>
              <w:rPr/>
              <w:t>​</w:t>
            </w:r>
          </w:p>
        </w:tc>
        <w:tc>
          <w:tcPr>
            <w:tcW w:w="211" w:type="dxa"/>
            <w:tcBorders/>
            <w:vAlign w:val="center"/>
          </w:tcPr>
          <w:p>
            <w:pPr>
              <w:pStyle w:val="TableContents"/>
              <w:bidi w:val="0"/>
              <w:spacing w:before="1" w:after="0"/>
              <w:ind w:left="0" w:right="0" w:hanging="0"/>
              <w:jc w:val="right"/>
              <w:rPr/>
            </w:pPr>
            <w:r>
              <w:rPr/>
              <w:t>​</w:t>
            </w:r>
          </w:p>
        </w:tc>
        <w:tc>
          <w:tcPr>
            <w:tcW w:w="616" w:type="dxa"/>
            <w:tcBorders/>
            <w:vAlign w:val="center"/>
          </w:tcPr>
          <w:p>
            <w:pPr>
              <w:pStyle w:val="TableContents"/>
              <w:bidi w:val="0"/>
              <w:spacing w:before="1" w:after="0"/>
              <w:ind w:left="0" w:right="0" w:hanging="0"/>
              <w:jc w:val="right"/>
              <w:rPr/>
            </w:pPr>
            <w:r>
              <w:rPr/>
              <w:t>​</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 segment expenses (income)</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1"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Segment operating profit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Items excluded from segment operating profit: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16" w:type="dxa"/>
            <w:tcBorders/>
            <w:shd w:fill="CCEEFF" w:val="clear"/>
            <w:vAlign w:val="center"/>
          </w:tcPr>
          <w:p>
            <w:pPr>
              <w:pStyle w:val="TableContents"/>
              <w:bidi w:val="0"/>
              <w:spacing w:before="1" w:after="0"/>
              <w:ind w:left="0" w:right="0" w:hanging="0"/>
              <w:jc w:val="left"/>
              <w:rPr/>
            </w:pPr>
            <w:r>
              <w:rPr/>
              <w:t>​</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i/>
                <w:sz w:val="20"/>
              </w:rPr>
            </w:pPr>
            <w:r>
              <w:rPr>
                <w:rFonts w:ascii="Times New Roman;Times;serif" w:hAnsi="Times New Roman;Times;serif"/>
                <w:i/>
                <w:sz w:val="20"/>
              </w:rPr>
              <w:t>Reconciliation of segment operating profit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16" w:type="dxa"/>
            <w:tcBorders/>
            <w:vAlign w:val="center"/>
          </w:tcPr>
          <w:p>
            <w:pPr>
              <w:pStyle w:val="TableContents"/>
              <w:bidi w:val="0"/>
              <w:spacing w:before="1" w:after="0"/>
              <w:ind w:left="0" w:right="0" w:hanging="0"/>
              <w:jc w:val="left"/>
              <w:rPr/>
            </w:pPr>
            <w:r>
              <w:rPr/>
              <w:t>​</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Retained corporate costs and other</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1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 xml:space="preserve">Goodwill impairment </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16" w:type="dxa"/>
            <w:tcBorders/>
            <w:vAlign w:val="center"/>
          </w:tcPr>
          <w:p>
            <w:pPr>
              <w:pStyle w:val="TableContents"/>
              <w:bidi w:val="0"/>
              <w:spacing w:before="1" w:after="0"/>
              <w:ind w:left="0" w:right="0" w:hanging="0"/>
              <w:jc w:val="right"/>
              <w:rPr/>
            </w:pPr>
            <w:r>
              <w:rPr/>
              <w:t>​</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 xml:space="preserve">Restructuring, asset impairment and other charges </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1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Gain (loss) on sale of joint venture and misc. assets</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1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Legacy environmental charge</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1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63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28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Earnings (loss) before income taxes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63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1" w:after="0"/>
              <w:ind w:left="0" w:right="60" w:hanging="0"/>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120" w:after="283"/>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Normal"/>
        <w:bidi w:val="0"/>
        <w:spacing w:before="0" w:after="0"/>
        <w:ind w:left="600" w:right="600" w:hanging="0"/>
        <w:jc w:val="left"/>
        <w:rPr>
          <w:sz w:val="4"/>
          <w:szCs w:val="4"/>
        </w:rPr>
      </w:pPr>
      <w:r>
        <w:rPr>
          <w:sz w:val="4"/>
          <w:szCs w:val="4"/>
        </w:rPr>
      </w:r>
      <w:bookmarkStart w:id="440" w:name="Tc_qtcgbfF4i0--7ydOmvCTaA_4_0"/>
      <w:bookmarkStart w:id="441" w:name="Tc_w7iJA63Z_ECKyXelR6KPnA_3_8"/>
      <w:bookmarkStart w:id="442" w:name="Tc_Uun8VpEFp0WY0Kk3RDSQgQ_3_5"/>
      <w:bookmarkStart w:id="443" w:name="Tc_D3G-hm3RtEOqYnK3RNsFqQ_3_2"/>
      <w:bookmarkStart w:id="444" w:name="Tc_nvCDD4VDPEWlDwmTF92VCQ_3_0"/>
      <w:bookmarkStart w:id="445" w:name="Tc_0srG8HmKrE-sG-d4Dvxh9A_2_8"/>
      <w:bookmarkStart w:id="446" w:name="Tc_5XtJd1hu9k-CY-6jQLRF0w_2_5"/>
      <w:bookmarkStart w:id="447" w:name="Tc_RME2hEVa10ev5JQZmUHA3A_2_2"/>
      <w:bookmarkStart w:id="448" w:name="Tc_st9i73y9bUubY7XeI6BTLQ_1_2"/>
      <w:bookmarkStart w:id="449" w:name="Tc_dXIdFBLVDkifbViuYihLcg_4_0"/>
      <w:bookmarkStart w:id="450" w:name="Tc_IBSAaSLWP0CR2kp6ZBnPsg_3_8"/>
      <w:bookmarkStart w:id="451" w:name="Tc_G3neA9_yvEWBLyjf5XgVCQ_3_5"/>
      <w:bookmarkStart w:id="452" w:name="Tc_-Ow2ZFzP7EGDM-Mr_vzakg_3_2"/>
      <w:bookmarkStart w:id="453" w:name="Tc_WxV3Un_H_U6NnJWcRdFusw_3_0"/>
      <w:bookmarkStart w:id="454" w:name="Tc_XviCOBsOH0ajPQPbm1AICg_2_8"/>
      <w:bookmarkStart w:id="455" w:name="Tc_WCn5n-DtSUmaudTONv7-qg_2_5"/>
      <w:bookmarkStart w:id="456" w:name="Tc_vAFT0COjsUi23uZiSv_i7A_2_2"/>
      <w:bookmarkStart w:id="457" w:name="Tc_iKmOVKPsgk2kg_9EDJBX7Q_1_2"/>
      <w:bookmarkStart w:id="458" w:name="Tc_67cMi9ITWkCkWcPeKzGbgg_13_0"/>
      <w:bookmarkStart w:id="459" w:name="Tc_sWL8X_E_v0Se0QJH1h2Tww_12_14"/>
      <w:bookmarkStart w:id="460" w:name="Tc_tE9HiqJ2R0G2assps66sHA_12_11"/>
      <w:bookmarkStart w:id="461" w:name="Tc__Kz4t3qjc0iSXpdajdMYWA_12_8"/>
      <w:bookmarkStart w:id="462" w:name="Tc_INfpfTbndE2RammiT0lZsQ_12_5"/>
      <w:bookmarkStart w:id="463" w:name="Tc_YBMlga4zNUKfvmPLwvBx3A_12_2"/>
      <w:bookmarkStart w:id="464" w:name="Tc_hq-nZE5Z20mEtU4Sm2Q6Ww_12_0"/>
      <w:bookmarkStart w:id="465" w:name="Tc_BoasM-cxP0Wedrn0AqWNOw_11_0"/>
      <w:bookmarkStart w:id="466" w:name="Tc_TTJLbBE_h0ykaLoYoIE6IQ_10_0"/>
      <w:bookmarkStart w:id="467" w:name="Tc_4Ode7w8w6kGlJq9VSW3Png_9_14"/>
      <w:bookmarkStart w:id="468" w:name="Tc_reRS5jiNCkOZjmRG6Auczw_9_11"/>
      <w:bookmarkStart w:id="469" w:name="Tc_dDZndJryV0uqP5hswlXhlQ_9_8"/>
      <w:bookmarkStart w:id="470" w:name="Tc_XA3E9MVfy0mecotxvjF_Mg_9_5"/>
      <w:bookmarkStart w:id="471" w:name="Tc_J3CKzJNSfkWof9YmUcNlgQ_9_2"/>
      <w:bookmarkStart w:id="472" w:name="Tc_wa8bQSz630i30IOkg4qGLw_9_0"/>
      <w:bookmarkStart w:id="473" w:name="Tc_-02ukcv2ekKNbNjagAXcBA_8_0"/>
      <w:bookmarkStart w:id="474" w:name="Tc_qSdt0uODz0SZxUlEoKfPYw_7_12"/>
      <w:bookmarkStart w:id="475" w:name="Tc_VKlghZN-WE-R4qUNdu36Gg_7_0"/>
      <w:bookmarkStart w:id="476" w:name="Tc_pv6GtHMQS061ZFedv6f67A_6_14"/>
      <w:bookmarkStart w:id="477" w:name="Tc_N_tuq159gU-NCCX-kg9rqA_6_12"/>
      <w:bookmarkStart w:id="478" w:name="Tc_yja65Q90gk22eEBTrqd0Kg_6_11"/>
      <w:bookmarkStart w:id="479" w:name="Tc_9RvHxWa5r0O_tWksxPABCw_6_8"/>
      <w:bookmarkStart w:id="480" w:name="Tc_u9j_iysVf0uKMvF7eTWirg_6_5"/>
      <w:bookmarkStart w:id="481" w:name="Tc_OF6pNPabE0q4Fjihvf4IzQ_6_2"/>
      <w:bookmarkStart w:id="482" w:name="Tc_1EL4GHTDykCIBlVHg7ItCA_6_0"/>
      <w:bookmarkStart w:id="483" w:name="Tc_HbGU88zAx0uJFaVmmoC7jw_5_0"/>
      <w:bookmarkStart w:id="484" w:name="Tc_AIQ-pvWp_Ui154iKH_GZ1A_4_14"/>
      <w:bookmarkStart w:id="485" w:name="Tc_3n5B_m-tukGOrGNYHzPybA_4_11"/>
      <w:bookmarkStart w:id="486" w:name="Tc_utCsZrQAzU6CHS3ht5Vg3A_4_8"/>
      <w:bookmarkStart w:id="487" w:name="Tc_WgN2EODcYEaxa4UrF4OQsg_4_5"/>
      <w:bookmarkStart w:id="488" w:name="Tc_5lCrhKe5P0WLwGndVbimiw_4_2"/>
      <w:bookmarkStart w:id="489" w:name="Tc_miWOQzFRakOE8bulRFwypQ_3_14"/>
      <w:bookmarkStart w:id="490" w:name="Tc_ovQ72j2y4kCqFZfisavKuA_3_11"/>
      <w:bookmarkStart w:id="491" w:name="Tc_d0_BFrsI-0aYHx6nVx_QMA_3_8"/>
      <w:bookmarkStart w:id="492" w:name="Tc_ln7Toiz3F0O3RFt2iT5xgg_2_14"/>
      <w:bookmarkStart w:id="493" w:name="Tc_Oj1872fVq0iNrEoAFGdxIA_2_11"/>
      <w:bookmarkStart w:id="494" w:name="Tc_oFf_P0BhT0W9j25H_YtdyQ_2_8"/>
      <w:bookmarkStart w:id="495" w:name="Tc_op3flyNmm0K-GCoAwd5XVg_1_2"/>
      <w:bookmarkStart w:id="496" w:name="_3cead8c7_0771_4871_a18e_90dea4ba6887"/>
      <w:bookmarkStart w:id="497" w:name="Tc_jdxMZHnBBUulGFqi8UQ7Ow_13_0"/>
      <w:bookmarkStart w:id="498" w:name="Tc_XPLZjUfqfUqed7XLznYwOA_12_14"/>
      <w:bookmarkStart w:id="499" w:name="Tc_pBrXUnAkJUm8ohR3YJASiw_12_11"/>
      <w:bookmarkStart w:id="500" w:name="Tc_9-JMfoBC2kew_9Z5v7K-LA_12_8"/>
      <w:bookmarkStart w:id="501" w:name="Tc_KvThjM8-ikKEb9SvjWH2nw_12_5"/>
      <w:bookmarkStart w:id="502" w:name="Tc_PzryuclMlk-cwpRgYM839Q_12_2"/>
      <w:bookmarkStart w:id="503" w:name="Tc_IIsjdICQG0a4xkxertNvgA_12_0"/>
      <w:bookmarkStart w:id="504" w:name="Tc_GjB-djhGXUyeVp8YbUt6NQ_11_0"/>
      <w:bookmarkStart w:id="505" w:name="Tc_DXzbStwJzE6Fq4mkqI4aRw_10_0"/>
      <w:bookmarkStart w:id="506" w:name="Tc_HerxCPVuLESa6m8X6FptoA_9_14"/>
      <w:bookmarkStart w:id="507" w:name="Tc_bjBNmTTas0OBemxIORNmUQ_9_12"/>
      <w:bookmarkStart w:id="508" w:name="Tc_Py-7HBiwQEGHhyCEs0cYtg_9_11"/>
      <w:bookmarkStart w:id="509" w:name="Tc_HHGhn_cjS0SuXPsE9_sUNQ_9_8"/>
      <w:bookmarkStart w:id="510" w:name="Tc_rP8x0BzLCk2MWP7CX0Bp-Q_9_5"/>
      <w:bookmarkStart w:id="511" w:name="Tc_5JoqsNkS80uUua51Royk7A_9_2"/>
      <w:bookmarkStart w:id="512" w:name="Tc_29xgFCHz8kyeucFKo5F3HA_9_0"/>
      <w:bookmarkStart w:id="513" w:name="Tc_HbDaeeVmiESxQ6F44Vei5g_8_0"/>
      <w:bookmarkStart w:id="514" w:name="Tc_OTwHWIsNIkWOPxe8bnh0xQ_7_12"/>
      <w:bookmarkStart w:id="515" w:name="Tc_9lEQ-A7wykKVOtONAuHnZQ_7_0"/>
      <w:bookmarkStart w:id="516" w:name="Tc_ZMEfhnzN_k2e36Kwc1KjAA_6_14"/>
      <w:bookmarkStart w:id="517" w:name="Tc_z3DF5KxXwkaJjSxxRO6umQ_6_12"/>
      <w:bookmarkStart w:id="518" w:name="Tc_MW2TZhhxvES6oXL5pyyEmA_6_11"/>
      <w:bookmarkStart w:id="519" w:name="Tc_mnbuDNmIv0q3nLs1SQFPoQ_6_8"/>
      <w:bookmarkStart w:id="520" w:name="Tc_PFn3jffANEKZ-E0gljMgMQ_6_5"/>
      <w:bookmarkStart w:id="521" w:name="Tc_oJ2_ZcRXaEWkFL7tL5uZTQ_6_2"/>
      <w:bookmarkStart w:id="522" w:name="Tc_u9VodceOEEKwTZR5c7NRBw_6_0"/>
      <w:bookmarkStart w:id="523" w:name="Tc_1J5Dp6bN9kyLhyCEjNLChw_5_0"/>
      <w:bookmarkStart w:id="524" w:name="Tc_WHFd5MlDEk2RkkcWfMOqWg_4_14"/>
      <w:bookmarkStart w:id="525" w:name="Tc_hZUhWcp8ekePT7rHjA-6_Q_4_11"/>
      <w:bookmarkStart w:id="526" w:name="Tc_e8KZ0lhrFkqWz6AT5esBZg_4_8"/>
      <w:bookmarkStart w:id="527" w:name="Tc_NgZYJATqxE6LSuxfWxpg4Q_4_5"/>
      <w:bookmarkStart w:id="528" w:name="Tc_dGXUtA1ookSvav7QKfxhJQ_4_2"/>
      <w:bookmarkStart w:id="529" w:name="Tc_4dQAgbLY0Uix0mQ2huQ8rg_3_14"/>
      <w:bookmarkStart w:id="530" w:name="Tc_l-pJYl-G60iCcIyx37d-3Q_3_11"/>
      <w:bookmarkStart w:id="531" w:name="Tc_2et7ab8NqEqcGu-P3OlODA_3_8"/>
      <w:bookmarkStart w:id="532" w:name="Tc_1jHos9FhTUqsnlcE37NjyA_2_14"/>
      <w:bookmarkStart w:id="533" w:name="Tc_P7XBPCrvO0CcMxkSrFsiRg_2_11"/>
      <w:bookmarkStart w:id="534" w:name="Tc_88lH78l3J0Sv3NKFCHzYzw_2_8"/>
      <w:bookmarkStart w:id="535" w:name="Tc_m6yhbJR1FkaXdrg3CNwhXA_1_2"/>
      <w:bookmarkStart w:id="536" w:name="_aa54c477_03c8_4ed8_a8fd_8dcc854725a7"/>
      <w:bookmarkStart w:id="537" w:name="Tc_nHqGBYR-nUyVMo_E4fkD3g_10_0"/>
      <w:bookmarkStart w:id="538" w:name="Tc_0qnHy5s35kyV9Qb--rhzFg_9_14"/>
      <w:bookmarkStart w:id="539" w:name="Tc_GerriB0CREOQVU_tZ2fbAg_9_11"/>
      <w:bookmarkStart w:id="540" w:name="Tc_a5ap6iNcPkKvvvl7pGVHWQ_9_8"/>
      <w:bookmarkStart w:id="541" w:name="Tc_FHZ2kWSfOESaWvaTv9_Jzw_9_5"/>
      <w:bookmarkStart w:id="542" w:name="Tc_KYCzRmpDk0yCy0IOrhvHyA_9_2"/>
      <w:bookmarkStart w:id="543" w:name="Tc_bQqnUVvWOkS583D4AH4nCA_9_0"/>
      <w:bookmarkStart w:id="544" w:name="Tc_BbJuxbNpc0SdW4YoIYA9Tg_8_0"/>
      <w:bookmarkStart w:id="545" w:name="Tc_PL0I7VJuIUeH_sZvxGSHIA_7_0"/>
      <w:bookmarkStart w:id="546" w:name="Tc_jFFlcOtVZ0WLhRSp3tAt6Q_6_14"/>
      <w:bookmarkStart w:id="547" w:name="Tc_Jx8XtvoRsk-fu8Q0zSpScg_6_11"/>
      <w:bookmarkStart w:id="548" w:name="Tc_9_mkEOfop0KqrN0jOnf8bw_6_8"/>
      <w:bookmarkStart w:id="549" w:name="Tc_aLmKFm1j70CvXVhrecdwzQ_6_5"/>
      <w:bookmarkStart w:id="550" w:name="Tc_FEw_PLal9Eq0jNIUu76T1A_6_2"/>
      <w:bookmarkStart w:id="551" w:name="Tc_MLKTJ8QzZUGtUno0tXPeNQ_6_0"/>
      <w:bookmarkStart w:id="552" w:name="Tc_6CLpdddRDUuG9bokRUzP8w_5_0"/>
      <w:bookmarkStart w:id="553" w:name="Tc_kqtF19_GrE6FmBIJwTrxpA_4_14"/>
      <w:bookmarkStart w:id="554" w:name="Tc_FB-PCD-de0O5gzS6v1IpRw_4_11"/>
      <w:bookmarkStart w:id="555" w:name="Tc_gaPLdwwuNkOLL8lRob8j1A_4_8"/>
      <w:bookmarkStart w:id="556" w:name="Tc_t8mvwcvPr0OAWRpfnPZU1Q_4_5"/>
      <w:bookmarkStart w:id="557" w:name="Tc_u9bcYdTWOkKyjD0uvitanA_4_2"/>
      <w:bookmarkStart w:id="558" w:name="Tc_fduji2QxGkCpGnzgJwiv_Q_3_14"/>
      <w:bookmarkStart w:id="559" w:name="Tc_mGHfi3g5B0Ovrpvl_h8l6Q_3_11"/>
      <w:bookmarkStart w:id="560" w:name="Tc_7xbNq0fnjU61Ox9bBxuCsA_3_8"/>
      <w:bookmarkStart w:id="561" w:name="Tc_SJww4MULb0uckk_N-YEAPg_2_14"/>
      <w:bookmarkStart w:id="562" w:name="Tc_IisYzgxM6Uqa6XNTuLRD5A_2_11"/>
      <w:bookmarkStart w:id="563" w:name="Tc_l68IvzokYUCRoq1T2y3jYA_2_8"/>
      <w:bookmarkStart w:id="564" w:name="Tc_GfMxxQi-ikWCCyRyniFk2w_1_2"/>
      <w:bookmarkStart w:id="565" w:name="_9e8dc5cf_cc2f_45df_818a_0c455a2ccd93"/>
      <w:bookmarkStart w:id="566" w:name="Tc_qtcgbfF4i0--7ydOmvCTaA_4_0"/>
      <w:bookmarkStart w:id="567" w:name="Tc_w7iJA63Z_ECKyXelR6KPnA_3_8"/>
      <w:bookmarkStart w:id="568" w:name="Tc_Uun8VpEFp0WY0Kk3RDSQgQ_3_5"/>
      <w:bookmarkStart w:id="569" w:name="Tc_D3G-hm3RtEOqYnK3RNsFqQ_3_2"/>
      <w:bookmarkStart w:id="570" w:name="Tc_nvCDD4VDPEWlDwmTF92VCQ_3_0"/>
      <w:bookmarkStart w:id="571" w:name="Tc_0srG8HmKrE-sG-d4Dvxh9A_2_8"/>
      <w:bookmarkStart w:id="572" w:name="Tc_5XtJd1hu9k-CY-6jQLRF0w_2_5"/>
      <w:bookmarkStart w:id="573" w:name="Tc_RME2hEVa10ev5JQZmUHA3A_2_2"/>
      <w:bookmarkStart w:id="574" w:name="Tc_st9i73y9bUubY7XeI6BTLQ_1_2"/>
      <w:bookmarkStart w:id="575" w:name="Tc_dXIdFBLVDkifbViuYihLcg_4_0"/>
      <w:bookmarkStart w:id="576" w:name="Tc_IBSAaSLWP0CR2kp6ZBnPsg_3_8"/>
      <w:bookmarkStart w:id="577" w:name="Tc_G3neA9_yvEWBLyjf5XgVCQ_3_5"/>
      <w:bookmarkStart w:id="578" w:name="Tc_-Ow2ZFzP7EGDM-Mr_vzakg_3_2"/>
      <w:bookmarkStart w:id="579" w:name="Tc_WxV3Un_H_U6NnJWcRdFusw_3_0"/>
      <w:bookmarkStart w:id="580" w:name="Tc_XviCOBsOH0ajPQPbm1AICg_2_8"/>
      <w:bookmarkStart w:id="581" w:name="Tc_WCn5n-DtSUmaudTONv7-qg_2_5"/>
      <w:bookmarkStart w:id="582" w:name="Tc_vAFT0COjsUi23uZiSv_i7A_2_2"/>
      <w:bookmarkStart w:id="583" w:name="Tc_iKmOVKPsgk2kg_9EDJBX7Q_1_2"/>
      <w:bookmarkStart w:id="584" w:name="Tc_67cMi9ITWkCkWcPeKzGbgg_13_0"/>
      <w:bookmarkStart w:id="585" w:name="Tc_sWL8X_E_v0Se0QJH1h2Tww_12_14"/>
      <w:bookmarkStart w:id="586" w:name="Tc_tE9HiqJ2R0G2assps66sHA_12_11"/>
      <w:bookmarkStart w:id="587" w:name="Tc__Kz4t3qjc0iSXpdajdMYWA_12_8"/>
      <w:bookmarkStart w:id="588" w:name="Tc_INfpfTbndE2RammiT0lZsQ_12_5"/>
      <w:bookmarkStart w:id="589" w:name="Tc_YBMlga4zNUKfvmPLwvBx3A_12_2"/>
      <w:bookmarkStart w:id="590" w:name="Tc_hq-nZE5Z20mEtU4Sm2Q6Ww_12_0"/>
      <w:bookmarkStart w:id="591" w:name="Tc_BoasM-cxP0Wedrn0AqWNOw_11_0"/>
      <w:bookmarkStart w:id="592" w:name="Tc_TTJLbBE_h0ykaLoYoIE6IQ_10_0"/>
      <w:bookmarkStart w:id="593" w:name="Tc_4Ode7w8w6kGlJq9VSW3Png_9_14"/>
      <w:bookmarkStart w:id="594" w:name="Tc_reRS5jiNCkOZjmRG6Auczw_9_11"/>
      <w:bookmarkStart w:id="595" w:name="Tc_dDZndJryV0uqP5hswlXhlQ_9_8"/>
      <w:bookmarkStart w:id="596" w:name="Tc_XA3E9MVfy0mecotxvjF_Mg_9_5"/>
      <w:bookmarkStart w:id="597" w:name="Tc_J3CKzJNSfkWof9YmUcNlgQ_9_2"/>
      <w:bookmarkStart w:id="598" w:name="Tc_wa8bQSz630i30IOkg4qGLw_9_0"/>
      <w:bookmarkStart w:id="599" w:name="Tc_-02ukcv2ekKNbNjagAXcBA_8_0"/>
      <w:bookmarkStart w:id="600" w:name="Tc_qSdt0uODz0SZxUlEoKfPYw_7_12"/>
      <w:bookmarkStart w:id="601" w:name="Tc_VKlghZN-WE-R4qUNdu36Gg_7_0"/>
      <w:bookmarkStart w:id="602" w:name="Tc_pv6GtHMQS061ZFedv6f67A_6_14"/>
      <w:bookmarkStart w:id="603" w:name="Tc_N_tuq159gU-NCCX-kg9rqA_6_12"/>
      <w:bookmarkStart w:id="604" w:name="Tc_yja65Q90gk22eEBTrqd0Kg_6_11"/>
      <w:bookmarkStart w:id="605" w:name="Tc_9RvHxWa5r0O_tWksxPABCw_6_8"/>
      <w:bookmarkStart w:id="606" w:name="Tc_u9j_iysVf0uKMvF7eTWirg_6_5"/>
      <w:bookmarkStart w:id="607" w:name="Tc_OF6pNPabE0q4Fjihvf4IzQ_6_2"/>
      <w:bookmarkStart w:id="608" w:name="Tc_1EL4GHTDykCIBlVHg7ItCA_6_0"/>
      <w:bookmarkStart w:id="609" w:name="Tc_HbGU88zAx0uJFaVmmoC7jw_5_0"/>
      <w:bookmarkStart w:id="610" w:name="Tc_AIQ-pvWp_Ui154iKH_GZ1A_4_14"/>
      <w:bookmarkStart w:id="611" w:name="Tc_3n5B_m-tukGOrGNYHzPybA_4_11"/>
      <w:bookmarkStart w:id="612" w:name="Tc_utCsZrQAzU6CHS3ht5Vg3A_4_8"/>
      <w:bookmarkStart w:id="613" w:name="Tc_WgN2EODcYEaxa4UrF4OQsg_4_5"/>
      <w:bookmarkStart w:id="614" w:name="Tc_5lCrhKe5P0WLwGndVbimiw_4_2"/>
      <w:bookmarkStart w:id="615" w:name="Tc_miWOQzFRakOE8bulRFwypQ_3_14"/>
      <w:bookmarkStart w:id="616" w:name="Tc_ovQ72j2y4kCqFZfisavKuA_3_11"/>
      <w:bookmarkStart w:id="617" w:name="Tc_d0_BFrsI-0aYHx6nVx_QMA_3_8"/>
      <w:bookmarkStart w:id="618" w:name="Tc_ln7Toiz3F0O3RFt2iT5xgg_2_14"/>
      <w:bookmarkStart w:id="619" w:name="Tc_Oj1872fVq0iNrEoAFGdxIA_2_11"/>
      <w:bookmarkStart w:id="620" w:name="Tc_oFf_P0BhT0W9j25H_YtdyQ_2_8"/>
      <w:bookmarkStart w:id="621" w:name="Tc_op3flyNmm0K-GCoAwd5XVg_1_2"/>
      <w:bookmarkStart w:id="622" w:name="_3cead8c7_0771_4871_a18e_90dea4ba6887"/>
      <w:bookmarkStart w:id="623" w:name="Tc_jdxMZHnBBUulGFqi8UQ7Ow_13_0"/>
      <w:bookmarkStart w:id="624" w:name="Tc_XPLZjUfqfUqed7XLznYwOA_12_14"/>
      <w:bookmarkStart w:id="625" w:name="Tc_pBrXUnAkJUm8ohR3YJASiw_12_11"/>
      <w:bookmarkStart w:id="626" w:name="Tc_9-JMfoBC2kew_9Z5v7K-LA_12_8"/>
      <w:bookmarkStart w:id="627" w:name="Tc_KvThjM8-ikKEb9SvjWH2nw_12_5"/>
      <w:bookmarkStart w:id="628" w:name="Tc_PzryuclMlk-cwpRgYM839Q_12_2"/>
      <w:bookmarkStart w:id="629" w:name="Tc_IIsjdICQG0a4xkxertNvgA_12_0"/>
      <w:bookmarkStart w:id="630" w:name="Tc_GjB-djhGXUyeVp8YbUt6NQ_11_0"/>
      <w:bookmarkStart w:id="631" w:name="Tc_DXzbStwJzE6Fq4mkqI4aRw_10_0"/>
      <w:bookmarkStart w:id="632" w:name="Tc_HerxCPVuLESa6m8X6FptoA_9_14"/>
      <w:bookmarkStart w:id="633" w:name="Tc_bjBNmTTas0OBemxIORNmUQ_9_12"/>
      <w:bookmarkStart w:id="634" w:name="Tc_Py-7HBiwQEGHhyCEs0cYtg_9_11"/>
      <w:bookmarkStart w:id="635" w:name="Tc_HHGhn_cjS0SuXPsE9_sUNQ_9_8"/>
      <w:bookmarkStart w:id="636" w:name="Tc_rP8x0BzLCk2MWP7CX0Bp-Q_9_5"/>
      <w:bookmarkStart w:id="637" w:name="Tc_5JoqsNkS80uUua51Royk7A_9_2"/>
      <w:bookmarkStart w:id="638" w:name="Tc_29xgFCHz8kyeucFKo5F3HA_9_0"/>
      <w:bookmarkStart w:id="639" w:name="Tc_HbDaeeVmiESxQ6F44Vei5g_8_0"/>
      <w:bookmarkStart w:id="640" w:name="Tc_OTwHWIsNIkWOPxe8bnh0xQ_7_12"/>
      <w:bookmarkStart w:id="641" w:name="Tc_9lEQ-A7wykKVOtONAuHnZQ_7_0"/>
      <w:bookmarkStart w:id="642" w:name="Tc_ZMEfhnzN_k2e36Kwc1KjAA_6_14"/>
      <w:bookmarkStart w:id="643" w:name="Tc_z3DF5KxXwkaJjSxxRO6umQ_6_12"/>
      <w:bookmarkStart w:id="644" w:name="Tc_MW2TZhhxvES6oXL5pyyEmA_6_11"/>
      <w:bookmarkStart w:id="645" w:name="Tc_mnbuDNmIv0q3nLs1SQFPoQ_6_8"/>
      <w:bookmarkStart w:id="646" w:name="Tc_PFn3jffANEKZ-E0gljMgMQ_6_5"/>
      <w:bookmarkStart w:id="647" w:name="Tc_oJ2_ZcRXaEWkFL7tL5uZTQ_6_2"/>
      <w:bookmarkStart w:id="648" w:name="Tc_u9VodceOEEKwTZR5c7NRBw_6_0"/>
      <w:bookmarkStart w:id="649" w:name="Tc_1J5Dp6bN9kyLhyCEjNLChw_5_0"/>
      <w:bookmarkStart w:id="650" w:name="Tc_WHFd5MlDEk2RkkcWfMOqWg_4_14"/>
      <w:bookmarkStart w:id="651" w:name="Tc_hZUhWcp8ekePT7rHjA-6_Q_4_11"/>
      <w:bookmarkStart w:id="652" w:name="Tc_e8KZ0lhrFkqWz6AT5esBZg_4_8"/>
      <w:bookmarkStart w:id="653" w:name="Tc_NgZYJATqxE6LSuxfWxpg4Q_4_5"/>
      <w:bookmarkStart w:id="654" w:name="Tc_dGXUtA1ookSvav7QKfxhJQ_4_2"/>
      <w:bookmarkStart w:id="655" w:name="Tc_4dQAgbLY0Uix0mQ2huQ8rg_3_14"/>
      <w:bookmarkStart w:id="656" w:name="Tc_l-pJYl-G60iCcIyx37d-3Q_3_11"/>
      <w:bookmarkStart w:id="657" w:name="Tc_2et7ab8NqEqcGu-P3OlODA_3_8"/>
      <w:bookmarkStart w:id="658" w:name="Tc_1jHos9FhTUqsnlcE37NjyA_2_14"/>
      <w:bookmarkStart w:id="659" w:name="Tc_P7XBPCrvO0CcMxkSrFsiRg_2_11"/>
      <w:bookmarkStart w:id="660" w:name="Tc_88lH78l3J0Sv3NKFCHzYzw_2_8"/>
      <w:bookmarkStart w:id="661" w:name="Tc_m6yhbJR1FkaXdrg3CNwhXA_1_2"/>
      <w:bookmarkStart w:id="662" w:name="_aa54c477_03c8_4ed8_a8fd_8dcc854725a7"/>
      <w:bookmarkStart w:id="663" w:name="Tc_nHqGBYR-nUyVMo_E4fkD3g_10_0"/>
      <w:bookmarkStart w:id="664" w:name="Tc_0qnHy5s35kyV9Qb--rhzFg_9_14"/>
      <w:bookmarkStart w:id="665" w:name="Tc_GerriB0CREOQVU_tZ2fbAg_9_11"/>
      <w:bookmarkStart w:id="666" w:name="Tc_a5ap6iNcPkKvvvl7pGVHWQ_9_8"/>
      <w:bookmarkStart w:id="667" w:name="Tc_FHZ2kWSfOESaWvaTv9_Jzw_9_5"/>
      <w:bookmarkStart w:id="668" w:name="Tc_KYCzRmpDk0yCy0IOrhvHyA_9_2"/>
      <w:bookmarkStart w:id="669" w:name="Tc_bQqnUVvWOkS583D4AH4nCA_9_0"/>
      <w:bookmarkStart w:id="670" w:name="Tc_BbJuxbNpc0SdW4YoIYA9Tg_8_0"/>
      <w:bookmarkStart w:id="671" w:name="Tc_PL0I7VJuIUeH_sZvxGSHIA_7_0"/>
      <w:bookmarkStart w:id="672" w:name="Tc_jFFlcOtVZ0WLhRSp3tAt6Q_6_14"/>
      <w:bookmarkStart w:id="673" w:name="Tc_Jx8XtvoRsk-fu8Q0zSpScg_6_11"/>
      <w:bookmarkStart w:id="674" w:name="Tc_9_mkEOfop0KqrN0jOnf8bw_6_8"/>
      <w:bookmarkStart w:id="675" w:name="Tc_aLmKFm1j70CvXVhrecdwzQ_6_5"/>
      <w:bookmarkStart w:id="676" w:name="Tc_FEw_PLal9Eq0jNIUu76T1A_6_2"/>
      <w:bookmarkStart w:id="677" w:name="Tc_MLKTJ8QzZUGtUno0tXPeNQ_6_0"/>
      <w:bookmarkStart w:id="678" w:name="Tc_6CLpdddRDUuG9bokRUzP8w_5_0"/>
      <w:bookmarkStart w:id="679" w:name="Tc_kqtF19_GrE6FmBIJwTrxpA_4_14"/>
      <w:bookmarkStart w:id="680" w:name="Tc_FB-PCD-de0O5gzS6v1IpRw_4_11"/>
      <w:bookmarkStart w:id="681" w:name="Tc_gaPLdwwuNkOLL8lRob8j1A_4_8"/>
      <w:bookmarkStart w:id="682" w:name="Tc_t8mvwcvPr0OAWRpfnPZU1Q_4_5"/>
      <w:bookmarkStart w:id="683" w:name="Tc_u9bcYdTWOkKyjD0uvitanA_4_2"/>
      <w:bookmarkStart w:id="684" w:name="Tc_fduji2QxGkCpGnzgJwiv_Q_3_14"/>
      <w:bookmarkStart w:id="685" w:name="Tc_mGHfi3g5B0Ovrpvl_h8l6Q_3_11"/>
      <w:bookmarkStart w:id="686" w:name="Tc_7xbNq0fnjU61Ox9bBxuCsA_3_8"/>
      <w:bookmarkStart w:id="687" w:name="Tc_SJww4MULb0uckk_N-YEAPg_2_14"/>
      <w:bookmarkStart w:id="688" w:name="Tc_IisYzgxM6Uqa6XNTuLRD5A_2_11"/>
      <w:bookmarkStart w:id="689" w:name="Tc_l68IvzokYUCRoq1T2y3jYA_2_8"/>
      <w:bookmarkStart w:id="690" w:name="Tc_GfMxxQi-ikWCCyRyniFk2w_1_2"/>
      <w:bookmarkStart w:id="691" w:name="_9e8dc5cf_cc2f_45df_818a_0c455a2ccd93"/>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tbl>
      <w:tblPr>
        <w:tblW w:w="7855" w:type="dxa"/>
        <w:jc w:val="left"/>
        <w:tblInd w:w="0" w:type="dxa"/>
        <w:tblLayout w:type="fixed"/>
        <w:tblCellMar>
          <w:top w:w="0" w:type="dxa"/>
          <w:left w:w="0" w:type="dxa"/>
          <w:bottom w:w="0" w:type="dxa"/>
          <w:right w:w="0" w:type="dxa"/>
        </w:tblCellMar>
      </w:tblPr>
      <w:tblGrid>
        <w:gridCol w:w="1756"/>
        <w:gridCol w:w="346"/>
        <w:gridCol w:w="211"/>
        <w:gridCol w:w="571"/>
        <w:gridCol w:w="346"/>
        <w:gridCol w:w="211"/>
        <w:gridCol w:w="571"/>
        <w:gridCol w:w="346"/>
        <w:gridCol w:w="247"/>
        <w:gridCol w:w="669"/>
        <w:gridCol w:w="346"/>
        <w:gridCol w:w="304"/>
        <w:gridCol w:w="612"/>
        <w:gridCol w:w="346"/>
        <w:gridCol w:w="211"/>
        <w:gridCol w:w="571"/>
        <w:gridCol w:w="191"/>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115060" cy="175895"/>
                      <wp:effectExtent l="0" t="0" r="0" b="0"/>
                      <wp:wrapNone/>
                      <wp:docPr id="90" name="Frame89"/>
                      <a:graphic xmlns:a="http://schemas.openxmlformats.org/drawingml/2006/main">
                        <a:graphicData uri="http://schemas.microsoft.com/office/word/2010/wordprocessingShape">
                          <wps:wsp>
                            <wps:cNvSpPr txBox="1"/>
                            <wps:spPr>
                              <a:xfrm>
                                <a:off x="0" y="0"/>
                                <a:ext cx="11150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895"/>
                      <wp:effectExtent l="0" t="0" r="0" b="0"/>
                      <wp:wrapNone/>
                      <wp:docPr id="91" name="Frame9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895"/>
                      <wp:effectExtent l="0" t="0" r="0" b="0"/>
                      <wp:wrapNone/>
                      <wp:docPr id="92" name="Frame9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2585" cy="175895"/>
                      <wp:effectExtent l="0" t="0" r="0" b="0"/>
                      <wp:wrapNone/>
                      <wp:docPr id="93" name="Frame92"/>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895"/>
                      <wp:effectExtent l="0" t="0" r="0" b="0"/>
                      <wp:wrapNone/>
                      <wp:docPr id="94" name="Frame9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895"/>
                      <wp:effectExtent l="0" t="0" r="0" b="0"/>
                      <wp:wrapNone/>
                      <wp:docPr id="95" name="Frame9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62585" cy="175895"/>
                      <wp:effectExtent l="0" t="0" r="0" b="0"/>
                      <wp:wrapNone/>
                      <wp:docPr id="96" name="Frame95"/>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895"/>
                      <wp:effectExtent l="0" t="0" r="0" b="0"/>
                      <wp:wrapNone/>
                      <wp:docPr id="97" name="Frame9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6845" cy="175895"/>
                      <wp:effectExtent l="0" t="0" r="0" b="0"/>
                      <wp:wrapNone/>
                      <wp:docPr id="98" name="Frame97"/>
                      <a:graphic xmlns:a="http://schemas.openxmlformats.org/drawingml/2006/main">
                        <a:graphicData uri="http://schemas.microsoft.com/office/word/2010/wordprocessingShape">
                          <wps:wsp>
                            <wps:cNvSpPr txBox="1"/>
                            <wps:spPr>
                              <a:xfrm>
                                <a:off x="0" y="0"/>
                                <a:ext cx="15684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24815" cy="175895"/>
                      <wp:effectExtent l="0" t="0" r="0" b="0"/>
                      <wp:wrapNone/>
                      <wp:docPr id="99" name="Frame98"/>
                      <a:graphic xmlns:a="http://schemas.openxmlformats.org/drawingml/2006/main">
                        <a:graphicData uri="http://schemas.microsoft.com/office/word/2010/wordprocessingShape">
                          <wps:wsp>
                            <wps:cNvSpPr txBox="1"/>
                            <wps:spPr>
                              <a:xfrm>
                                <a:off x="0" y="0"/>
                                <a:ext cx="42481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895"/>
                      <wp:effectExtent l="0" t="0" r="0" b="0"/>
                      <wp:wrapNone/>
                      <wp:docPr id="100" name="Frame9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93040" cy="175895"/>
                      <wp:effectExtent l="0" t="0" r="0" b="0"/>
                      <wp:wrapNone/>
                      <wp:docPr id="101" name="Frame100"/>
                      <a:graphic xmlns:a="http://schemas.openxmlformats.org/drawingml/2006/main">
                        <a:graphicData uri="http://schemas.microsoft.com/office/word/2010/wordprocessingShape">
                          <wps:wsp>
                            <wps:cNvSpPr txBox="1"/>
                            <wps:spPr>
                              <a:xfrm>
                                <a:off x="0" y="0"/>
                                <a:ext cx="19304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88620" cy="175895"/>
                      <wp:effectExtent l="0" t="0" r="0" b="0"/>
                      <wp:wrapNone/>
                      <wp:docPr id="102" name="Frame101"/>
                      <a:graphic xmlns:a="http://schemas.openxmlformats.org/drawingml/2006/main">
                        <a:graphicData uri="http://schemas.microsoft.com/office/word/2010/wordprocessingShape">
                          <wps:wsp>
                            <wps:cNvSpPr txBox="1"/>
                            <wps:spPr>
                              <a:xfrm>
                                <a:off x="0" y="0"/>
                                <a:ext cx="38862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895"/>
                      <wp:effectExtent l="0" t="0" r="0" b="0"/>
                      <wp:wrapNone/>
                      <wp:docPr id="103" name="Frame10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895"/>
                      <wp:effectExtent l="0" t="0" r="0" b="0"/>
                      <wp:wrapNone/>
                      <wp:docPr id="104" name="Frame10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62585" cy="175895"/>
                      <wp:effectExtent l="0" t="0" r="0" b="0"/>
                      <wp:wrapNone/>
                      <wp:docPr id="105" name="Frame104"/>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1285" cy="175895"/>
                      <wp:effectExtent l="0" t="0" r="0" b="0"/>
                      <wp:wrapNone/>
                      <wp:docPr id="106" name="Frame105"/>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1" w:after="0"/>
              <w:ind w:left="0" w:right="0" w:hanging="0"/>
              <w:jc w:val="left"/>
              <w:rPr>
                <w:color w:val="0563C1"/>
              </w:rPr>
            </w:pPr>
            <w:r>
              <w:rPr>
                <w:color w:val="0563C1"/>
              </w:rPr>
              <w:t>​</w:t>
            </w:r>
          </w:p>
        </w:tc>
        <w:tc>
          <w:tcPr>
            <w:tcW w:w="346" w:type="dxa"/>
            <w:tcBorders/>
            <w:vAlign w:val="center"/>
          </w:tcPr>
          <w:p>
            <w:pPr>
              <w:pStyle w:val="TableContents"/>
              <w:bidi w:val="0"/>
              <w:spacing w:before="1" w:after="0"/>
              <w:ind w:left="0" w:right="0" w:hanging="0"/>
              <w:jc w:val="left"/>
              <w:rPr/>
            </w:pPr>
            <w:r>
              <w:rPr/>
              <w:t>​</w:t>
            </w:r>
          </w:p>
        </w:tc>
        <w:tc>
          <w:tcPr>
            <w:tcW w:w="5562" w:type="dxa"/>
            <w:gridSpan w:val="14"/>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91" w:type="dxa"/>
            <w:tcBorders/>
            <w:vAlign w:val="center"/>
          </w:tcPr>
          <w:p>
            <w:pPr>
              <w:pStyle w:val="TableContents"/>
              <w:bidi w:val="0"/>
              <w:spacing w:before="1" w:after="0"/>
              <w:ind w:left="0" w:right="0" w:hanging="0"/>
              <w:jc w:val="left"/>
              <w:rPr/>
            </w:pPr>
            <w:r>
              <w:rPr/>
              <w:t>​</w:t>
            </w:r>
          </w:p>
        </w:tc>
      </w:tr>
      <w:tr>
        <w:trPr/>
        <w:tc>
          <w:tcPr>
            <w:tcW w:w="175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center"/>
              <w:rPr/>
            </w:pPr>
            <w:r>
              <w:rPr/>
              <w:t>​</w:t>
            </w:r>
          </w:p>
        </w:tc>
        <w:tc>
          <w:tcPr>
            <w:tcW w:w="571"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center"/>
              <w:rPr/>
            </w:pPr>
            <w:r>
              <w:rPr/>
              <w:t>​</w:t>
            </w:r>
          </w:p>
        </w:tc>
        <w:tc>
          <w:tcPr>
            <w:tcW w:w="571"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  ​ ​ ​</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c>
          <w:tcPr>
            <w:tcW w:w="346" w:type="dxa"/>
            <w:tcBorders/>
            <w:vAlign w:val="center"/>
          </w:tcPr>
          <w:p>
            <w:pPr>
              <w:pStyle w:val="TableContents"/>
              <w:bidi w:val="0"/>
              <w:spacing w:before="1" w:after="0"/>
              <w:ind w:left="0" w:right="0" w:hanging="0"/>
              <w:jc w:val="center"/>
              <w:rPr/>
            </w:pPr>
            <w:r>
              <w:rPr/>
              <w:t>  ​ ​ ​</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1" w:after="0"/>
              <w:ind w:left="0" w:right="0" w:hanging="0"/>
              <w:jc w:val="center"/>
              <w:rPr/>
            </w:pPr>
            <w:r>
              <w:rPr/>
              <w:t>  ​ ​ ​</w:t>
            </w:r>
          </w:p>
        </w:tc>
        <w:tc>
          <w:tcPr>
            <w:tcW w:w="782"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Consoli-</w:t>
            </w:r>
          </w:p>
        </w:tc>
        <w:tc>
          <w:tcPr>
            <w:tcW w:w="191" w:type="dxa"/>
            <w:tcBorders/>
            <w:vAlign w:val="center"/>
          </w:tcPr>
          <w:p>
            <w:pPr>
              <w:pStyle w:val="TableContents"/>
              <w:bidi w:val="0"/>
              <w:spacing w:before="1" w:after="0"/>
              <w:ind w:left="0" w:right="0" w:hanging="0"/>
              <w:jc w:val="center"/>
              <w:rPr/>
            </w:pPr>
            <w:r>
              <w:rPr/>
              <w:t> </w:t>
            </w:r>
          </w:p>
        </w:tc>
      </w:tr>
      <w:tr>
        <w:trPr/>
        <w:tc>
          <w:tcPr>
            <w:tcW w:w="175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w:t>
            </w:r>
          </w:p>
        </w:tc>
        <w:tc>
          <w:tcPr>
            <w:tcW w:w="782" w:type="dxa"/>
            <w:gridSpan w:val="2"/>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w:t>
            </w:r>
          </w:p>
        </w:tc>
        <w:tc>
          <w:tcPr>
            <w:tcW w:w="211" w:type="dxa"/>
            <w:tcBorders/>
            <w:vAlign w:val="center"/>
          </w:tcPr>
          <w:p>
            <w:pPr>
              <w:pStyle w:val="TableContents"/>
              <w:bidi w:val="0"/>
              <w:spacing w:before="1" w:after="0"/>
              <w:ind w:left="0" w:right="0" w:hanging="0"/>
              <w:jc w:val="center"/>
              <w:rPr/>
            </w:pPr>
            <w:r>
              <w:rPr/>
              <w:t>​</w:t>
            </w:r>
          </w:p>
        </w:tc>
        <w:tc>
          <w:tcPr>
            <w:tcW w:w="571"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Corp Costs</w:t>
            </w:r>
          </w:p>
        </w:tc>
        <w:tc>
          <w:tcPr>
            <w:tcW w:w="346" w:type="dxa"/>
            <w:tcBorders/>
            <w:vAlign w:val="center"/>
          </w:tcPr>
          <w:p>
            <w:pPr>
              <w:pStyle w:val="TableContents"/>
              <w:bidi w:val="0"/>
              <w:spacing w:before="1" w:after="0"/>
              <w:ind w:left="0" w:right="0" w:hanging="0"/>
              <w:jc w:val="center"/>
              <w:rPr/>
            </w:pPr>
            <w:r>
              <w:rPr/>
              <w:t>​</w:t>
            </w:r>
          </w:p>
        </w:tc>
        <w:tc>
          <w:tcPr>
            <w:tcW w:w="782"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dated</w:t>
            </w:r>
          </w:p>
        </w:tc>
        <w:tc>
          <w:tcPr>
            <w:tcW w:w="191" w:type="dxa"/>
            <w:tcBorders/>
            <w:vAlign w:val="center"/>
          </w:tcPr>
          <w:p>
            <w:pPr>
              <w:pStyle w:val="TableContents"/>
              <w:bidi w:val="0"/>
              <w:spacing w:before="1" w:after="0"/>
              <w:ind w:left="0" w:right="0" w:hanging="0"/>
              <w:jc w:val="center"/>
              <w:rPr/>
            </w:pPr>
            <w:r>
              <w:rPr/>
              <w:t> </w:t>
            </w:r>
          </w:p>
        </w:tc>
      </w:tr>
      <w:tr>
        <w:trPr/>
        <w:tc>
          <w:tcPr>
            <w:tcW w:w="175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346" w:type="dxa"/>
            <w:tcBorders/>
            <w:vAlign w:val="center"/>
          </w:tcPr>
          <w:p>
            <w:pPr>
              <w:pStyle w:val="TableContents"/>
              <w:bidi w:val="0"/>
              <w:spacing w:before="1"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Totals</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346" w:type="dxa"/>
            <w:tcBorders/>
            <w:vAlign w:val="center"/>
          </w:tcPr>
          <w:p>
            <w:pPr>
              <w:pStyle w:val="TableContents"/>
              <w:bidi w:val="0"/>
              <w:spacing w:before="1"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Totals</w:t>
            </w:r>
          </w:p>
        </w:tc>
        <w:tc>
          <w:tcPr>
            <w:tcW w:w="191" w:type="dxa"/>
            <w:tcBorders/>
            <w:vAlign w:val="center"/>
          </w:tcPr>
          <w:p>
            <w:pPr>
              <w:pStyle w:val="TableContents"/>
              <w:bidi w:val="0"/>
              <w:spacing w:before="1" w:after="0"/>
              <w:ind w:left="0" w:right="0" w:hanging="0"/>
              <w:jc w:val="center"/>
              <w:rPr/>
            </w:pPr>
            <w:r>
              <w:rPr/>
              <w:t> </w:t>
            </w:r>
          </w:p>
        </w:tc>
      </w:tr>
      <w:tr>
        <w:trPr/>
        <w:tc>
          <w:tcPr>
            <w:tcW w:w="175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47" w:type="dxa"/>
            <w:tcBorders/>
            <w:shd w:fill="CCEEFF" w:val="clear"/>
            <w:vAlign w:val="center"/>
          </w:tcPr>
          <w:p>
            <w:pPr>
              <w:pStyle w:val="TableContents"/>
              <w:bidi w:val="0"/>
              <w:spacing w:before="1" w:after="0"/>
              <w:ind w:left="0" w:right="0" w:hanging="0"/>
              <w:jc w:val="left"/>
              <w:rPr/>
            </w:pPr>
            <w:r>
              <w:rPr/>
              <w:t>​</w:t>
            </w:r>
          </w:p>
        </w:tc>
        <w:tc>
          <w:tcPr>
            <w:tcW w:w="669"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04" w:type="dxa"/>
            <w:tcBorders/>
            <w:shd w:fill="CCEEFF" w:val="clear"/>
            <w:vAlign w:val="center"/>
          </w:tcPr>
          <w:p>
            <w:pPr>
              <w:pStyle w:val="TableContents"/>
              <w:bidi w:val="0"/>
              <w:spacing w:before="1" w:after="0"/>
              <w:ind w:left="0" w:right="0" w:hanging="0"/>
              <w:jc w:val="left"/>
              <w:rPr/>
            </w:pPr>
            <w:r>
              <w:rPr/>
              <w:t>​</w:t>
            </w:r>
          </w:p>
        </w:tc>
        <w:tc>
          <w:tcPr>
            <w:tcW w:w="612"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left"/>
              <w:rPr/>
            </w:pPr>
            <w:r>
              <w:rPr/>
              <w:t>​</w:t>
            </w:r>
          </w:p>
        </w:tc>
        <w:tc>
          <w:tcPr>
            <w:tcW w:w="191" w:type="dxa"/>
            <w:tcBorders/>
            <w:shd w:fill="CCEEFF" w:val="clear"/>
            <w:vAlign w:val="center"/>
          </w:tcPr>
          <w:p>
            <w:pPr>
              <w:pStyle w:val="TableContents"/>
              <w:bidi w:val="0"/>
              <w:spacing w:before="1" w:after="0"/>
              <w:ind w:left="0" w:right="0" w:hanging="0"/>
              <w:jc w:val="left"/>
              <w:rPr/>
            </w:pPr>
            <w:r>
              <w:rPr/>
              <w:t>​</w:t>
            </w:r>
          </w:p>
        </w:tc>
      </w:tr>
      <w:tr>
        <w:trPr/>
        <w:tc>
          <w:tcPr>
            <w:tcW w:w="175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4,864</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2,900</w:t>
            </w:r>
          </w:p>
        </w:tc>
        <w:tc>
          <w:tcPr>
            <w:tcW w:w="346" w:type="dxa"/>
            <w:tcBorders/>
            <w:vAlign w:val="center"/>
          </w:tcPr>
          <w:p>
            <w:pPr>
              <w:pStyle w:val="TableContents"/>
              <w:bidi w:val="0"/>
              <w:spacing w:before="1" w:after="0"/>
              <w:ind w:left="0" w:right="0" w:hanging="0"/>
              <w:jc w:val="left"/>
              <w:rPr/>
            </w:pPr>
            <w:r>
              <w:rPr/>
              <w:t>​</w:t>
            </w:r>
          </w:p>
        </w:tc>
        <w:tc>
          <w:tcPr>
            <w:tcW w:w="247"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7,764</w:t>
            </w:r>
          </w:p>
        </w:tc>
        <w:tc>
          <w:tcPr>
            <w:tcW w:w="346" w:type="dxa"/>
            <w:tcBorders/>
            <w:vAlign w:val="center"/>
          </w:tcPr>
          <w:p>
            <w:pPr>
              <w:pStyle w:val="TableContents"/>
              <w:bidi w:val="0"/>
              <w:spacing w:before="1" w:after="0"/>
              <w:ind w:left="0" w:right="0" w:hanging="0"/>
              <w:jc w:val="left"/>
              <w:rPr/>
            </w:pPr>
            <w:r>
              <w:rPr/>
              <w:t>​</w:t>
            </w:r>
          </w:p>
        </w:tc>
        <w:tc>
          <w:tcPr>
            <w:tcW w:w="304"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8,088</w:t>
            </w:r>
          </w:p>
        </w:tc>
        <w:tc>
          <w:tcPr>
            <w:tcW w:w="191" w:type="dxa"/>
            <w:tcBorders/>
            <w:vAlign w:val="center"/>
          </w:tcPr>
          <w:p>
            <w:pPr>
              <w:pStyle w:val="TableContents"/>
              <w:bidi w:val="0"/>
              <w:spacing w:before="1" w:after="0"/>
              <w:ind w:left="0" w:right="0" w:hanging="0"/>
              <w:jc w:val="left"/>
              <w:rPr/>
            </w:pPr>
            <w:r>
              <w:rPr/>
              <w:t>​</w:t>
            </w:r>
          </w:p>
        </w:tc>
      </w:tr>
      <w:tr>
        <w:trPr/>
        <w:tc>
          <w:tcPr>
            <w:tcW w:w="175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4,841</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346" w:type="dxa"/>
            <w:tcBorders/>
            <w:shd w:fill="CCEEFF" w:val="clear"/>
            <w:vAlign w:val="center"/>
          </w:tcPr>
          <w:p>
            <w:pPr>
              <w:pStyle w:val="TableContents"/>
              <w:bidi w:val="0"/>
              <w:spacing w:before="1" w:after="0"/>
              <w:ind w:left="0" w:right="0" w:hanging="0"/>
              <w:jc w:val="left"/>
              <w:rPr/>
            </w:pPr>
            <w:r>
              <w:rPr/>
              <w:t>​</w:t>
            </w:r>
          </w:p>
        </w:tc>
        <w:tc>
          <w:tcPr>
            <w:tcW w:w="247" w:type="dxa"/>
            <w:tcBorders/>
            <w:shd w:fill="CCEEFF" w:val="clear"/>
            <w:vAlign w:val="center"/>
          </w:tcPr>
          <w:p>
            <w:pPr>
              <w:pStyle w:val="TableContents"/>
              <w:bidi w:val="0"/>
              <w:spacing w:before="1" w:after="0"/>
              <w:ind w:left="0" w:right="0" w:hanging="0"/>
              <w:jc w:val="left"/>
              <w:rPr/>
            </w:pPr>
            <w:r>
              <w:rPr/>
              <w:t>​</w:t>
            </w:r>
          </w:p>
        </w:tc>
        <w:tc>
          <w:tcPr>
            <w:tcW w:w="66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8,825</w:t>
            </w:r>
          </w:p>
        </w:tc>
        <w:tc>
          <w:tcPr>
            <w:tcW w:w="346" w:type="dxa"/>
            <w:tcBorders/>
            <w:shd w:fill="CCEEFF" w:val="clear"/>
            <w:vAlign w:val="center"/>
          </w:tcPr>
          <w:p>
            <w:pPr>
              <w:pStyle w:val="TableContents"/>
              <w:bidi w:val="0"/>
              <w:spacing w:before="1" w:after="0"/>
              <w:ind w:left="0" w:right="0" w:hanging="0"/>
              <w:jc w:val="left"/>
              <w:rPr/>
            </w:pPr>
            <w:r>
              <w:rPr/>
              <w:t>​</w:t>
            </w:r>
          </w:p>
        </w:tc>
        <w:tc>
          <w:tcPr>
            <w:tcW w:w="304" w:type="dxa"/>
            <w:tcBorders/>
            <w:shd w:fill="CCEEFF" w:val="clear"/>
            <w:vAlign w:val="center"/>
          </w:tcPr>
          <w:p>
            <w:pPr>
              <w:pStyle w:val="TableContents"/>
              <w:bidi w:val="0"/>
              <w:spacing w:before="1" w:after="0"/>
              <w:ind w:left="0" w:right="0" w:hanging="0"/>
              <w:jc w:val="left"/>
              <w:rPr/>
            </w:pPr>
            <w:r>
              <w:rPr/>
              <w:t>​</w:t>
            </w:r>
          </w:p>
        </w:tc>
        <w:tc>
          <w:tcPr>
            <w:tcW w:w="612"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9,179</w:t>
            </w:r>
          </w:p>
        </w:tc>
        <w:tc>
          <w:tcPr>
            <w:tcW w:w="191" w:type="dxa"/>
            <w:tcBorders/>
            <w:shd w:fill="CCEEFF" w:val="clear"/>
            <w:vAlign w:val="center"/>
          </w:tcPr>
          <w:p>
            <w:pPr>
              <w:pStyle w:val="TableContents"/>
              <w:bidi w:val="0"/>
              <w:spacing w:before="1" w:after="0"/>
              <w:ind w:left="0" w:right="0" w:hanging="0"/>
              <w:jc w:val="left"/>
              <w:rPr/>
            </w:pPr>
            <w:r>
              <w:rPr/>
              <w:t>​</w:t>
            </w:r>
          </w:p>
        </w:tc>
      </w:tr>
      <w:tr>
        <w:trPr/>
        <w:tc>
          <w:tcPr>
            <w:tcW w:w="175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47" w:type="dxa"/>
            <w:tcBorders/>
            <w:vAlign w:val="center"/>
          </w:tcPr>
          <w:p>
            <w:pPr>
              <w:pStyle w:val="TableContents"/>
              <w:bidi w:val="0"/>
              <w:spacing w:before="1" w:after="0"/>
              <w:ind w:left="0" w:right="0" w:hanging="0"/>
              <w:jc w:val="left"/>
              <w:rPr/>
            </w:pPr>
            <w:r>
              <w:rPr/>
              <w:t>​</w:t>
            </w:r>
          </w:p>
        </w:tc>
        <w:tc>
          <w:tcPr>
            <w:tcW w:w="669"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304" w:type="dxa"/>
            <w:tcBorders/>
            <w:vAlign w:val="center"/>
          </w:tcPr>
          <w:p>
            <w:pPr>
              <w:pStyle w:val="TableContents"/>
              <w:bidi w:val="0"/>
              <w:spacing w:before="1" w:after="0"/>
              <w:ind w:left="0" w:right="0" w:hanging="0"/>
              <w:jc w:val="left"/>
              <w:rPr/>
            </w:pPr>
            <w:r>
              <w:rPr/>
              <w:t>​</w:t>
            </w:r>
          </w:p>
        </w:tc>
        <w:tc>
          <w:tcPr>
            <w:tcW w:w="612"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191" w:type="dxa"/>
            <w:tcBorders/>
            <w:vAlign w:val="center"/>
          </w:tcPr>
          <w:p>
            <w:pPr>
              <w:pStyle w:val="TableContents"/>
              <w:bidi w:val="0"/>
              <w:spacing w:before="1" w:after="0"/>
              <w:ind w:left="0" w:right="0" w:hanging="0"/>
              <w:jc w:val="left"/>
              <w:rPr/>
            </w:pPr>
            <w:r>
              <w:rPr/>
              <w:t>​</w:t>
            </w:r>
          </w:p>
        </w:tc>
      </w:tr>
      <w:tr>
        <w:trPr/>
        <w:tc>
          <w:tcPr>
            <w:tcW w:w="175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shd w:fill="CCEEFF" w:val="clear"/>
            <w:vAlign w:val="center"/>
          </w:tcPr>
          <w:p>
            <w:pPr>
              <w:pStyle w:val="TableContents"/>
              <w:bidi w:val="0"/>
              <w:spacing w:before="1" w:after="0"/>
              <w:ind w:left="0" w:right="0" w:hanging="0"/>
              <w:jc w:val="left"/>
              <w:rPr/>
            </w:pPr>
            <w:r>
              <w:rPr/>
              <w:t>​</w:t>
            </w:r>
          </w:p>
        </w:tc>
        <w:tc>
          <w:tcPr>
            <w:tcW w:w="247"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46" w:type="dxa"/>
            <w:tcBorders/>
            <w:shd w:fill="CCEEFF" w:val="clear"/>
            <w:vAlign w:val="center"/>
          </w:tcPr>
          <w:p>
            <w:pPr>
              <w:pStyle w:val="TableContents"/>
              <w:bidi w:val="0"/>
              <w:spacing w:before="1" w:after="0"/>
              <w:ind w:left="0" w:right="0" w:hanging="0"/>
              <w:jc w:val="left"/>
              <w:rPr/>
            </w:pPr>
            <w:r>
              <w:rPr/>
              <w:t>​</w:t>
            </w:r>
          </w:p>
        </w:tc>
        <w:tc>
          <w:tcPr>
            <w:tcW w:w="304"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191" w:type="dxa"/>
            <w:tcBorders/>
            <w:shd w:fill="CCEEFF" w:val="clear"/>
            <w:vAlign w:val="center"/>
          </w:tcPr>
          <w:p>
            <w:pPr>
              <w:pStyle w:val="TableContents"/>
              <w:bidi w:val="0"/>
              <w:spacing w:before="1" w:after="0"/>
              <w:ind w:left="0" w:right="0" w:hanging="0"/>
              <w:jc w:val="left"/>
              <w:rPr/>
            </w:pPr>
            <w:r>
              <w:rPr/>
              <w:t>​</w:t>
            </w:r>
          </w:p>
        </w:tc>
      </w:tr>
      <w:tr>
        <w:trPr/>
        <w:tc>
          <w:tcPr>
            <w:tcW w:w="175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1" w:after="0"/>
              <w:ind w:left="0" w:right="0" w:hanging="0"/>
              <w:jc w:val="left"/>
              <w:rPr/>
            </w:pPr>
            <w:r>
              <w:rPr/>
              <w:t>​</w:t>
            </w:r>
          </w:p>
        </w:tc>
        <w:tc>
          <w:tcPr>
            <w:tcW w:w="247" w:type="dxa"/>
            <w:tcBorders/>
            <w:vAlign w:val="center"/>
          </w:tcPr>
          <w:p>
            <w:pPr>
              <w:pStyle w:val="TableContents"/>
              <w:bidi w:val="0"/>
              <w:spacing w:before="1" w:after="0"/>
              <w:ind w:left="0" w:right="0" w:hanging="0"/>
              <w:jc w:val="left"/>
              <w:rPr/>
            </w:pPr>
            <w:r>
              <w:rPr/>
              <w:t>​</w:t>
            </w:r>
          </w:p>
        </w:tc>
        <w:tc>
          <w:tcPr>
            <w:tcW w:w="6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46" w:type="dxa"/>
            <w:tcBorders/>
            <w:vAlign w:val="center"/>
          </w:tcPr>
          <w:p>
            <w:pPr>
              <w:pStyle w:val="TableContents"/>
              <w:bidi w:val="0"/>
              <w:spacing w:before="1" w:after="0"/>
              <w:ind w:left="0" w:right="0" w:hanging="0"/>
              <w:jc w:val="left"/>
              <w:rPr/>
            </w:pPr>
            <w:r>
              <w:rPr/>
              <w:t>​</w:t>
            </w:r>
          </w:p>
        </w:tc>
        <w:tc>
          <w:tcPr>
            <w:tcW w:w="304" w:type="dxa"/>
            <w:tcBorders/>
            <w:vAlign w:val="center"/>
          </w:tcPr>
          <w:p>
            <w:pPr>
              <w:pStyle w:val="TableContents"/>
              <w:bidi w:val="0"/>
              <w:spacing w:before="1" w:after="0"/>
              <w:ind w:left="0" w:right="0" w:hanging="0"/>
              <w:jc w:val="left"/>
              <w:rPr/>
            </w:pPr>
            <w:r>
              <w:rPr/>
              <w:t>​</w:t>
            </w:r>
          </w:p>
        </w:tc>
        <w:tc>
          <w:tcPr>
            <w:tcW w:w="612"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191" w:type="dxa"/>
            <w:tcBorders/>
            <w:vAlign w:val="center"/>
          </w:tcPr>
          <w:p>
            <w:pPr>
              <w:pStyle w:val="TableContents"/>
              <w:bidi w:val="0"/>
              <w:spacing w:before="1" w:after="0"/>
              <w:ind w:left="0" w:right="0" w:hanging="0"/>
              <w:jc w:val="left"/>
              <w:rPr/>
            </w:pPr>
            <w:r>
              <w:rPr/>
              <w:t>​</w:t>
            </w:r>
          </w:p>
        </w:tc>
      </w:tr>
    </w:tbl>
    <w:p>
      <w:pPr>
        <w:pStyle w:val="TextBody"/>
        <w:bidi w:val="0"/>
        <w:spacing w:before="0" w:after="0"/>
        <w:ind w:left="0" w:right="0" w:hanging="0"/>
        <w:jc w:val="left"/>
        <w:rPr/>
      </w:pPr>
      <w:r>
        <w:rPr/>
        <w:t>​</w:t>
      </w:r>
    </w:p>
    <w:tbl>
      <w:tblPr>
        <w:tblW w:w="9194" w:type="dxa"/>
        <w:jc w:val="left"/>
        <w:tblInd w:w="0" w:type="dxa"/>
        <w:tblLayout w:type="fixed"/>
        <w:tblCellMar>
          <w:top w:w="0" w:type="dxa"/>
          <w:left w:w="0" w:type="dxa"/>
          <w:bottom w:w="0" w:type="dxa"/>
          <w:right w:w="0" w:type="dxa"/>
        </w:tblCellMar>
      </w:tblPr>
      <w:tblGrid>
        <w:gridCol w:w="3361"/>
        <w:gridCol w:w="346"/>
        <w:gridCol w:w="312"/>
        <w:gridCol w:w="469"/>
        <w:gridCol w:w="346"/>
        <w:gridCol w:w="252"/>
        <w:gridCol w:w="379"/>
        <w:gridCol w:w="346"/>
        <w:gridCol w:w="305"/>
        <w:gridCol w:w="611"/>
        <w:gridCol w:w="346"/>
        <w:gridCol w:w="346"/>
        <w:gridCol w:w="570"/>
        <w:gridCol w:w="346"/>
        <w:gridCol w:w="234"/>
        <w:gridCol w:w="471"/>
        <w:gridCol w:w="154"/>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34235" cy="175895"/>
                      <wp:effectExtent l="0" t="0" r="0" b="0"/>
                      <wp:wrapNone/>
                      <wp:docPr id="107" name="Frame106"/>
                      <a:graphic xmlns:a="http://schemas.openxmlformats.org/drawingml/2006/main">
                        <a:graphicData uri="http://schemas.microsoft.com/office/word/2010/wordprocessingShape">
                          <wps:wsp>
                            <wps:cNvSpPr txBox="1"/>
                            <wps:spPr>
                              <a:xfrm>
                                <a:off x="0" y="0"/>
                                <a:ext cx="2134235"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895"/>
                      <wp:effectExtent l="0" t="0" r="0" b="0"/>
                      <wp:wrapNone/>
                      <wp:docPr id="108" name="Frame10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98120" cy="175895"/>
                      <wp:effectExtent l="0" t="0" r="0" b="0"/>
                      <wp:wrapNone/>
                      <wp:docPr id="109" name="Frame108"/>
                      <a:graphic xmlns:a="http://schemas.openxmlformats.org/drawingml/2006/main">
                        <a:graphicData uri="http://schemas.microsoft.com/office/word/2010/wordprocessingShape">
                          <wps:wsp>
                            <wps:cNvSpPr txBox="1"/>
                            <wps:spPr>
                              <a:xfrm>
                                <a:off x="0" y="0"/>
                                <a:ext cx="19812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97815" cy="175895"/>
                      <wp:effectExtent l="0" t="0" r="0" b="0"/>
                      <wp:wrapNone/>
                      <wp:docPr id="110" name="Frame109"/>
                      <a:graphic xmlns:a="http://schemas.openxmlformats.org/drawingml/2006/main">
                        <a:graphicData uri="http://schemas.microsoft.com/office/word/2010/wordprocessingShape">
                          <wps:wsp>
                            <wps:cNvSpPr txBox="1"/>
                            <wps:spPr>
                              <a:xfrm>
                                <a:off x="0" y="0"/>
                                <a:ext cx="297815"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895"/>
                      <wp:effectExtent l="0" t="0" r="0" b="0"/>
                      <wp:wrapNone/>
                      <wp:docPr id="111" name="Frame11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0020" cy="175895"/>
                      <wp:effectExtent l="0" t="0" r="0" b="0"/>
                      <wp:wrapNone/>
                      <wp:docPr id="112" name="Frame111"/>
                      <a:graphic xmlns:a="http://schemas.openxmlformats.org/drawingml/2006/main">
                        <a:graphicData uri="http://schemas.microsoft.com/office/word/2010/wordprocessingShape">
                          <wps:wsp>
                            <wps:cNvSpPr txBox="1"/>
                            <wps:spPr>
                              <a:xfrm>
                                <a:off x="0" y="0"/>
                                <a:ext cx="16002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0665" cy="175895"/>
                      <wp:effectExtent l="0" t="0" r="0" b="0"/>
                      <wp:wrapNone/>
                      <wp:docPr id="113" name="Frame112"/>
                      <a:graphic xmlns:a="http://schemas.openxmlformats.org/drawingml/2006/main">
                        <a:graphicData uri="http://schemas.microsoft.com/office/word/2010/wordprocessingShape">
                          <wps:wsp>
                            <wps:cNvSpPr txBox="1"/>
                            <wps:spPr>
                              <a:xfrm>
                                <a:off x="0" y="0"/>
                                <a:ext cx="240665"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895"/>
                      <wp:effectExtent l="0" t="0" r="0" b="0"/>
                      <wp:wrapNone/>
                      <wp:docPr id="114" name="Frame11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93675" cy="175895"/>
                      <wp:effectExtent l="0" t="0" r="0" b="0"/>
                      <wp:wrapNone/>
                      <wp:docPr id="115" name="Frame114"/>
                      <a:graphic xmlns:a="http://schemas.openxmlformats.org/drawingml/2006/main">
                        <a:graphicData uri="http://schemas.microsoft.com/office/word/2010/wordprocessingShape">
                          <wps:wsp>
                            <wps:cNvSpPr txBox="1"/>
                            <wps:spPr>
                              <a:xfrm>
                                <a:off x="0" y="0"/>
                                <a:ext cx="193675"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87985" cy="175895"/>
                      <wp:effectExtent l="0" t="0" r="0" b="0"/>
                      <wp:wrapNone/>
                      <wp:docPr id="116" name="Frame115"/>
                      <a:graphic xmlns:a="http://schemas.openxmlformats.org/drawingml/2006/main">
                        <a:graphicData uri="http://schemas.microsoft.com/office/word/2010/wordprocessingShape">
                          <wps:wsp>
                            <wps:cNvSpPr txBox="1"/>
                            <wps:spPr>
                              <a:xfrm>
                                <a:off x="0" y="0"/>
                                <a:ext cx="387985"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895"/>
                      <wp:effectExtent l="0" t="0" r="0" b="0"/>
                      <wp:wrapNone/>
                      <wp:docPr id="117" name="Frame11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895"/>
                      <wp:effectExtent l="0" t="0" r="0" b="0"/>
                      <wp:wrapNone/>
                      <wp:docPr id="118" name="Frame11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1950" cy="175895"/>
                      <wp:effectExtent l="0" t="0" r="0" b="0"/>
                      <wp:wrapNone/>
                      <wp:docPr id="119" name="Frame118"/>
                      <a:graphic xmlns:a="http://schemas.openxmlformats.org/drawingml/2006/main">
                        <a:graphicData uri="http://schemas.microsoft.com/office/word/2010/wordprocessingShape">
                          <wps:wsp>
                            <wps:cNvSpPr txBox="1"/>
                            <wps:spPr>
                              <a:xfrm>
                                <a:off x="0" y="0"/>
                                <a:ext cx="36195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895"/>
                      <wp:effectExtent l="0" t="0" r="0" b="0"/>
                      <wp:wrapNone/>
                      <wp:docPr id="120" name="Frame11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8590" cy="175895"/>
                      <wp:effectExtent l="0" t="0" r="0" b="0"/>
                      <wp:wrapNone/>
                      <wp:docPr id="121" name="Frame120"/>
                      <a:graphic xmlns:a="http://schemas.openxmlformats.org/drawingml/2006/main">
                        <a:graphicData uri="http://schemas.microsoft.com/office/word/2010/wordprocessingShape">
                          <wps:wsp>
                            <wps:cNvSpPr txBox="1"/>
                            <wps:spPr>
                              <a:xfrm>
                                <a:off x="0" y="0"/>
                                <a:ext cx="14859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99085" cy="175895"/>
                      <wp:effectExtent l="0" t="0" r="0" b="0"/>
                      <wp:wrapNone/>
                      <wp:docPr id="122" name="Frame121"/>
                      <a:graphic xmlns:a="http://schemas.openxmlformats.org/drawingml/2006/main">
                        <a:graphicData uri="http://schemas.microsoft.com/office/word/2010/wordprocessingShape">
                          <wps:wsp>
                            <wps:cNvSpPr txBox="1"/>
                            <wps:spPr>
                              <a:xfrm>
                                <a:off x="0" y="0"/>
                                <a:ext cx="299085"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97790" cy="175895"/>
                      <wp:effectExtent l="0" t="0" r="0" b="0"/>
                      <wp:wrapNone/>
                      <wp:docPr id="123" name="Frame122"/>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both"/>
                              <w:rPr/>
                            </w:pPr>
                            <w:r>
                              <w:rPr/>
                              <w:t>​</w:t>
                            </w:r>
                          </w:p>
                        </w:txbxContent>
                      </v:textbox>
                      <w10:wrap type="none"/>
                    </v:rect>
                  </w:pict>
                </mc:Fallback>
              </mc:AlternateConten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5333" w:type="dxa"/>
            <w:gridSpan w:val="14"/>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312" w:type="dxa"/>
            <w:tcBorders/>
            <w:vAlign w:val="center"/>
          </w:tcPr>
          <w:p>
            <w:pPr>
              <w:pStyle w:val="TableContents"/>
              <w:bidi w:val="0"/>
              <w:spacing w:before="1" w:after="0"/>
              <w:ind w:left="0" w:right="0" w:hanging="0"/>
              <w:jc w:val="center"/>
              <w:rPr/>
            </w:pPr>
            <w:r>
              <w:rPr/>
              <w:t>​</w:t>
            </w:r>
          </w:p>
        </w:tc>
        <w:tc>
          <w:tcPr>
            <w:tcW w:w="469"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  ​ ​ ​</w:t>
            </w:r>
          </w:p>
        </w:tc>
        <w:tc>
          <w:tcPr>
            <w:tcW w:w="252" w:type="dxa"/>
            <w:tcBorders/>
            <w:vAlign w:val="center"/>
          </w:tcPr>
          <w:p>
            <w:pPr>
              <w:pStyle w:val="TableContents"/>
              <w:bidi w:val="0"/>
              <w:spacing w:before="1" w:after="0"/>
              <w:ind w:left="0" w:right="0" w:hanging="0"/>
              <w:jc w:val="center"/>
              <w:rPr/>
            </w:pPr>
            <w:r>
              <w:rPr/>
              <w:t>​</w:t>
            </w:r>
          </w:p>
        </w:tc>
        <w:tc>
          <w:tcPr>
            <w:tcW w:w="379"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  ​ ​ ​</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c>
          <w:tcPr>
            <w:tcW w:w="346" w:type="dxa"/>
            <w:tcBorders/>
            <w:vAlign w:val="center"/>
          </w:tcPr>
          <w:p>
            <w:pPr>
              <w:pStyle w:val="TableContents"/>
              <w:bidi w:val="0"/>
              <w:spacing w:before="1" w:after="0"/>
              <w:ind w:left="0" w:right="0" w:hanging="0"/>
              <w:jc w:val="center"/>
              <w:rPr/>
            </w:pPr>
            <w:r>
              <w:rPr/>
              <w:t>  ​ ​ ​</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1" w:after="0"/>
              <w:ind w:left="0" w:right="0" w:hanging="0"/>
              <w:jc w:val="center"/>
              <w:rPr/>
            </w:pPr>
            <w:r>
              <w:rPr/>
              <w:t>  ​ ​ ​</w:t>
            </w:r>
          </w:p>
        </w:tc>
        <w:tc>
          <w:tcPr>
            <w:tcW w:w="705"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Consoli-</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w:t>
            </w:r>
          </w:p>
        </w:tc>
        <w:tc>
          <w:tcPr>
            <w:tcW w:w="781" w:type="dxa"/>
            <w:gridSpan w:val="2"/>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w:t>
            </w:r>
          </w:p>
        </w:tc>
        <w:tc>
          <w:tcPr>
            <w:tcW w:w="252" w:type="dxa"/>
            <w:tcBorders/>
            <w:vAlign w:val="center"/>
          </w:tcPr>
          <w:p>
            <w:pPr>
              <w:pStyle w:val="TableContents"/>
              <w:bidi w:val="0"/>
              <w:spacing w:before="1" w:after="0"/>
              <w:ind w:left="0" w:right="0" w:hanging="0"/>
              <w:jc w:val="center"/>
              <w:rPr/>
            </w:pPr>
            <w:r>
              <w:rPr/>
              <w:t>​</w:t>
            </w:r>
          </w:p>
        </w:tc>
        <w:tc>
          <w:tcPr>
            <w:tcW w:w="379"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Corp Costs</w:t>
            </w:r>
          </w:p>
        </w:tc>
        <w:tc>
          <w:tcPr>
            <w:tcW w:w="346" w:type="dxa"/>
            <w:tcBorders/>
            <w:vAlign w:val="center"/>
          </w:tcPr>
          <w:p>
            <w:pPr>
              <w:pStyle w:val="TableContents"/>
              <w:bidi w:val="0"/>
              <w:spacing w:before="1" w:after="0"/>
              <w:ind w:left="0" w:right="0" w:hanging="0"/>
              <w:jc w:val="center"/>
              <w:rPr/>
            </w:pPr>
            <w:r>
              <w:rPr/>
              <w:t>​</w:t>
            </w:r>
          </w:p>
        </w:tc>
        <w:tc>
          <w:tcPr>
            <w:tcW w:w="705"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dated</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w:t>
            </w:r>
          </w:p>
        </w:tc>
        <w:tc>
          <w:tcPr>
            <w:tcW w:w="781"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346" w:type="dxa"/>
            <w:tcBorders/>
            <w:vAlign w:val="center"/>
          </w:tcPr>
          <w:p>
            <w:pPr>
              <w:pStyle w:val="TableContents"/>
              <w:bidi w:val="0"/>
              <w:spacing w:before="1" w:after="0"/>
              <w:ind w:left="0" w:right="0" w:hanging="0"/>
              <w:jc w:val="center"/>
              <w:rPr/>
            </w:pPr>
            <w:r>
              <w:rPr/>
              <w:t>​</w:t>
            </w:r>
          </w:p>
        </w:tc>
        <w:tc>
          <w:tcPr>
            <w:tcW w:w="631"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Totals</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346" w:type="dxa"/>
            <w:tcBorders/>
            <w:vAlign w:val="center"/>
          </w:tcPr>
          <w:p>
            <w:pPr>
              <w:pStyle w:val="TableContents"/>
              <w:bidi w:val="0"/>
              <w:spacing w:before="1" w:after="0"/>
              <w:ind w:left="0" w:right="0" w:hanging="0"/>
              <w:jc w:val="center"/>
              <w:rPr/>
            </w:pPr>
            <w:r>
              <w:rPr/>
              <w:t>​</w:t>
            </w:r>
          </w:p>
        </w:tc>
        <w:tc>
          <w:tcPr>
            <w:tcW w:w="705"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Totals</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Equity earnings:</w:t>
            </w:r>
          </w:p>
        </w:tc>
        <w:tc>
          <w:tcPr>
            <w:tcW w:w="346" w:type="dxa"/>
            <w:tcBorders/>
            <w:shd w:fill="CCEEFF" w:val="clear"/>
            <w:vAlign w:val="center"/>
          </w:tcPr>
          <w:p>
            <w:pPr>
              <w:pStyle w:val="TableContents"/>
              <w:bidi w:val="0"/>
              <w:spacing w:before="1" w:after="0"/>
              <w:ind w:left="0" w:right="0" w:hanging="0"/>
              <w:jc w:val="left"/>
              <w:rPr/>
            </w:pPr>
            <w:r>
              <w:rPr/>
              <w:t>​</w:t>
            </w:r>
          </w:p>
        </w:tc>
        <w:tc>
          <w:tcPr>
            <w:tcW w:w="312" w:type="dxa"/>
            <w:tcBorders/>
            <w:shd w:fill="CCEEFF" w:val="clear"/>
            <w:vAlign w:val="center"/>
          </w:tcPr>
          <w:p>
            <w:pPr>
              <w:pStyle w:val="TableContents"/>
              <w:bidi w:val="0"/>
              <w:spacing w:before="1" w:after="0"/>
              <w:ind w:left="0" w:right="0" w:hanging="0"/>
              <w:jc w:val="left"/>
              <w:rPr/>
            </w:pPr>
            <w:r>
              <w:rPr/>
              <w:t>​</w:t>
            </w:r>
          </w:p>
        </w:tc>
        <w:tc>
          <w:tcPr>
            <w:tcW w:w="469"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52" w:type="dxa"/>
            <w:tcBorders/>
            <w:shd w:fill="CCEEFF" w:val="clear"/>
            <w:vAlign w:val="center"/>
          </w:tcPr>
          <w:p>
            <w:pPr>
              <w:pStyle w:val="TableContents"/>
              <w:bidi w:val="0"/>
              <w:spacing w:before="1" w:after="0"/>
              <w:ind w:left="0" w:right="0" w:hanging="0"/>
              <w:jc w:val="left"/>
              <w:rPr/>
            </w:pPr>
            <w:r>
              <w:rPr/>
              <w:t>​</w:t>
            </w:r>
          </w:p>
        </w:tc>
        <w:tc>
          <w:tcPr>
            <w:tcW w:w="379"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05" w:type="dxa"/>
            <w:tcBorders/>
            <w:shd w:fill="CCEEFF" w:val="clear"/>
            <w:vAlign w:val="center"/>
          </w:tcPr>
          <w:p>
            <w:pPr>
              <w:pStyle w:val="TableContents"/>
              <w:bidi w:val="0"/>
              <w:spacing w:before="1" w:after="0"/>
              <w:ind w:left="0" w:right="0" w:hanging="0"/>
              <w:jc w:val="left"/>
              <w:rPr/>
            </w:pPr>
            <w:r>
              <w:rPr/>
              <w:t>​</w:t>
            </w:r>
          </w:p>
        </w:tc>
        <w:tc>
          <w:tcPr>
            <w:tcW w:w="61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570"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34" w:type="dxa"/>
            <w:tcBorders/>
            <w:shd w:fill="CCEEFF" w:val="clear"/>
            <w:vAlign w:val="center"/>
          </w:tcPr>
          <w:p>
            <w:pPr>
              <w:pStyle w:val="TableContents"/>
              <w:bidi w:val="0"/>
              <w:spacing w:before="1" w:after="0"/>
              <w:ind w:left="0" w:right="0" w:hanging="0"/>
              <w:jc w:val="left"/>
              <w:rPr/>
            </w:pPr>
            <w:r>
              <w:rPr/>
              <w:t>​</w:t>
            </w:r>
          </w:p>
        </w:tc>
        <w:tc>
          <w:tcPr>
            <w:tcW w:w="471" w:type="dxa"/>
            <w:tcBorders/>
            <w:shd w:fill="CCEEFF" w:val="clear"/>
            <w:vAlign w:val="center"/>
          </w:tcPr>
          <w:p>
            <w:pPr>
              <w:pStyle w:val="TableContents"/>
              <w:bidi w:val="0"/>
              <w:spacing w:before="1" w:after="0"/>
              <w:ind w:left="0" w:right="0" w:hanging="0"/>
              <w:jc w:val="left"/>
              <w:rPr/>
            </w:pPr>
            <w:r>
              <w:rPr/>
              <w:t>​</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1" w:after="0"/>
              <w:ind w:left="0" w:right="0" w:hanging="0"/>
              <w:jc w:val="left"/>
              <w:rPr/>
            </w:pPr>
            <w:r>
              <w:rPr/>
              <w:t>​</w:t>
            </w:r>
          </w:p>
        </w:tc>
        <w:tc>
          <w:tcPr>
            <w:tcW w:w="31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1" w:after="0"/>
              <w:ind w:left="0" w:right="0" w:hanging="0"/>
              <w:jc w:val="left"/>
              <w:rPr/>
            </w:pPr>
            <w:r>
              <w:rPr/>
              <w:t>​</w:t>
            </w:r>
          </w:p>
        </w:tc>
        <w:tc>
          <w:tcPr>
            <w:tcW w:w="2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1" w:after="0"/>
              <w:ind w:left="0" w:right="0" w:hanging="0"/>
              <w:jc w:val="left"/>
              <w:rPr/>
            </w:pPr>
            <w:r>
              <w:rPr/>
              <w:t>​</w:t>
            </w:r>
          </w:p>
        </w:tc>
        <w:tc>
          <w:tcPr>
            <w:tcW w:w="305"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left"/>
              <w:rPr/>
            </w:pPr>
            <w:r>
              <w:rPr/>
              <w:t>​</w:t>
            </w:r>
          </w:p>
        </w:tc>
        <w:tc>
          <w:tcPr>
            <w:tcW w:w="234"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1" w:after="0"/>
              <w:ind w:left="0" w:right="0" w:hanging="0"/>
              <w:jc w:val="left"/>
              <w:rPr/>
            </w:pPr>
            <w:r>
              <w:rPr/>
              <w:t>​</w:t>
            </w:r>
          </w:p>
        </w:tc>
        <w:tc>
          <w:tcPr>
            <w:tcW w:w="312" w:type="dxa"/>
            <w:tcBorders/>
            <w:shd w:fill="CCEEFF" w:val="clear"/>
            <w:vAlign w:val="center"/>
          </w:tcPr>
          <w:p>
            <w:pPr>
              <w:pStyle w:val="TableContents"/>
              <w:bidi w:val="0"/>
              <w:spacing w:before="1" w:after="0"/>
              <w:ind w:left="0" w:right="0" w:hanging="0"/>
              <w:jc w:val="left"/>
              <w:rPr/>
            </w:pPr>
            <w:r>
              <w:rPr/>
              <w:t>​</w:t>
            </w:r>
          </w:p>
        </w:tc>
        <w:tc>
          <w:tcPr>
            <w:tcW w:w="46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1" w:after="0"/>
              <w:ind w:left="0" w:right="0" w:hanging="0"/>
              <w:jc w:val="left"/>
              <w:rPr/>
            </w:pPr>
            <w:r>
              <w:rPr/>
              <w:t>​</w:t>
            </w:r>
          </w:p>
        </w:tc>
        <w:tc>
          <w:tcPr>
            <w:tcW w:w="252" w:type="dxa"/>
            <w:tcBorders/>
            <w:shd w:fill="CCEEFF" w:val="clear"/>
            <w:vAlign w:val="center"/>
          </w:tcPr>
          <w:p>
            <w:pPr>
              <w:pStyle w:val="TableContents"/>
              <w:bidi w:val="0"/>
              <w:spacing w:before="1" w:after="0"/>
              <w:ind w:left="0" w:right="0" w:hanging="0"/>
              <w:jc w:val="left"/>
              <w:rPr/>
            </w:pPr>
            <w:r>
              <w:rPr/>
              <w:t>​</w:t>
            </w:r>
          </w:p>
        </w:tc>
        <w:tc>
          <w:tcPr>
            <w:tcW w:w="37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1" w:after="0"/>
              <w:ind w:left="0" w:right="0" w:hanging="0"/>
              <w:jc w:val="left"/>
              <w:rPr/>
            </w:pPr>
            <w:r>
              <w:rPr/>
              <w:t>​</w:t>
            </w:r>
          </w:p>
        </w:tc>
        <w:tc>
          <w:tcPr>
            <w:tcW w:w="305" w:type="dxa"/>
            <w:tcBorders/>
            <w:shd w:fill="CCEEFF" w:val="clear"/>
            <w:vAlign w:val="center"/>
          </w:tcPr>
          <w:p>
            <w:pPr>
              <w:pStyle w:val="TableContents"/>
              <w:bidi w:val="0"/>
              <w:spacing w:before="1" w:after="0"/>
              <w:ind w:left="0" w:right="0" w:hanging="0"/>
              <w:jc w:val="left"/>
              <w:rPr/>
            </w:pPr>
            <w:r>
              <w:rPr/>
              <w:t>​</w:t>
            </w:r>
          </w:p>
        </w:tc>
        <w:tc>
          <w:tcPr>
            <w:tcW w:w="61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570"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34" w:type="dxa"/>
            <w:tcBorders/>
            <w:shd w:fill="CCEEFF" w:val="clear"/>
            <w:vAlign w:val="center"/>
          </w:tcPr>
          <w:p>
            <w:pPr>
              <w:pStyle w:val="TableContents"/>
              <w:bidi w:val="0"/>
              <w:spacing w:before="1" w:after="0"/>
              <w:ind w:left="0" w:right="0" w:hanging="0"/>
              <w:jc w:val="left"/>
              <w:rPr/>
            </w:pPr>
            <w:r>
              <w:rPr/>
              <w:t>​</w:t>
            </w:r>
          </w:p>
        </w:tc>
        <w:tc>
          <w:tcPr>
            <w:tcW w:w="4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1" w:after="0"/>
              <w:ind w:left="0" w:right="0" w:hanging="0"/>
              <w:jc w:val="left"/>
              <w:rPr/>
            </w:pPr>
            <w:r>
              <w:rPr/>
              <w:t>​</w:t>
            </w:r>
          </w:p>
        </w:tc>
        <w:tc>
          <w:tcPr>
            <w:tcW w:w="312" w:type="dxa"/>
            <w:tcBorders/>
            <w:vAlign w:val="center"/>
          </w:tcPr>
          <w:p>
            <w:pPr>
              <w:pStyle w:val="TableContents"/>
              <w:bidi w:val="0"/>
              <w:spacing w:before="1" w:after="0"/>
              <w:ind w:left="0" w:right="0" w:hanging="0"/>
              <w:jc w:val="left"/>
              <w:rPr/>
            </w:pPr>
            <w:r>
              <w:rPr/>
              <w:t>​</w:t>
            </w:r>
          </w:p>
        </w:tc>
        <w:tc>
          <w:tcPr>
            <w:tcW w:w="469"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52" w:type="dxa"/>
            <w:tcBorders/>
            <w:vAlign w:val="center"/>
          </w:tcPr>
          <w:p>
            <w:pPr>
              <w:pStyle w:val="TableContents"/>
              <w:bidi w:val="0"/>
              <w:spacing w:before="1" w:after="0"/>
              <w:ind w:left="0" w:right="0" w:hanging="0"/>
              <w:jc w:val="left"/>
              <w:rPr/>
            </w:pPr>
            <w:r>
              <w:rPr/>
              <w:t>​</w:t>
            </w:r>
          </w:p>
        </w:tc>
        <w:tc>
          <w:tcPr>
            <w:tcW w:w="379"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305" w:type="dxa"/>
            <w:tcBorders/>
            <w:vAlign w:val="center"/>
          </w:tcPr>
          <w:p>
            <w:pPr>
              <w:pStyle w:val="TableContents"/>
              <w:bidi w:val="0"/>
              <w:spacing w:before="1" w:after="0"/>
              <w:ind w:left="0" w:right="0" w:hanging="0"/>
              <w:jc w:val="left"/>
              <w:rPr/>
            </w:pPr>
            <w:r>
              <w:rPr/>
              <w:t>​</w:t>
            </w:r>
          </w:p>
        </w:tc>
        <w:tc>
          <w:tcPr>
            <w:tcW w:w="61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570"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34" w:type="dxa"/>
            <w:tcBorders/>
            <w:vAlign w:val="center"/>
          </w:tcPr>
          <w:p>
            <w:pPr>
              <w:pStyle w:val="TableContents"/>
              <w:bidi w:val="0"/>
              <w:spacing w:before="1" w:after="0"/>
              <w:ind w:left="0" w:right="0" w:hanging="0"/>
              <w:jc w:val="left"/>
              <w:rPr/>
            </w:pPr>
            <w:r>
              <w:rPr/>
              <w:t>​</w:t>
            </w:r>
          </w:p>
        </w:tc>
        <w:tc>
          <w:tcPr>
            <w:tcW w:w="471" w:type="dxa"/>
            <w:tcBorders/>
            <w:vAlign w:val="center"/>
          </w:tcPr>
          <w:p>
            <w:pPr>
              <w:pStyle w:val="TableContents"/>
              <w:bidi w:val="0"/>
              <w:spacing w:before="1" w:after="0"/>
              <w:ind w:left="0" w:right="0" w:hanging="0"/>
              <w:jc w:val="left"/>
              <w:rPr/>
            </w:pPr>
            <w:r>
              <w:rPr/>
              <w:t>​</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1" w:after="0"/>
              <w:ind w:left="0" w:right="0" w:hanging="0"/>
              <w:jc w:val="left"/>
              <w:rPr/>
            </w:pPr>
            <w:r>
              <w:rPr/>
              <w:t>​</w:t>
            </w:r>
          </w:p>
        </w:tc>
        <w:tc>
          <w:tcPr>
            <w:tcW w:w="31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1" w:after="0"/>
              <w:ind w:left="0" w:right="0" w:hanging="0"/>
              <w:jc w:val="left"/>
              <w:rPr/>
            </w:pPr>
            <w:r>
              <w:rPr/>
              <w:t>​</w:t>
            </w:r>
          </w:p>
        </w:tc>
        <w:tc>
          <w:tcPr>
            <w:tcW w:w="252"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1" w:after="0"/>
              <w:ind w:left="0" w:right="0" w:hanging="0"/>
              <w:jc w:val="left"/>
              <w:rPr/>
            </w:pPr>
            <w:r>
              <w:rPr/>
              <w:t>​</w:t>
            </w:r>
          </w:p>
        </w:tc>
        <w:tc>
          <w:tcPr>
            <w:tcW w:w="305"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34"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1" w:after="0"/>
              <w:ind w:left="0" w:right="0" w:hanging="0"/>
              <w:jc w:val="left"/>
              <w:rPr/>
            </w:pPr>
            <w:r>
              <w:rPr/>
              <w:t>​</w:t>
            </w:r>
          </w:p>
        </w:tc>
        <w:tc>
          <w:tcPr>
            <w:tcW w:w="312" w:type="dxa"/>
            <w:tcBorders/>
            <w:vAlign w:val="center"/>
          </w:tcPr>
          <w:p>
            <w:pPr>
              <w:pStyle w:val="TableContents"/>
              <w:bidi w:val="0"/>
              <w:spacing w:before="1" w:after="0"/>
              <w:ind w:left="0" w:right="0" w:hanging="0"/>
              <w:jc w:val="left"/>
              <w:rPr/>
            </w:pPr>
            <w:r>
              <w:rPr/>
              <w:t>​</w:t>
            </w:r>
          </w:p>
        </w:tc>
        <w:tc>
          <w:tcPr>
            <w:tcW w:w="4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1" w:after="0"/>
              <w:ind w:left="0" w:right="0" w:hanging="0"/>
              <w:jc w:val="left"/>
              <w:rPr/>
            </w:pPr>
            <w:r>
              <w:rPr/>
              <w:t>​</w:t>
            </w:r>
          </w:p>
        </w:tc>
        <w:tc>
          <w:tcPr>
            <w:tcW w:w="252" w:type="dxa"/>
            <w:tcBorders/>
            <w:vAlign w:val="center"/>
          </w:tcPr>
          <w:p>
            <w:pPr>
              <w:pStyle w:val="TableContents"/>
              <w:bidi w:val="0"/>
              <w:spacing w:before="1" w:after="0"/>
              <w:ind w:left="0" w:right="0" w:hanging="0"/>
              <w:jc w:val="left"/>
              <w:rPr/>
            </w:pPr>
            <w:r>
              <w:rPr/>
              <w:t>​</w:t>
            </w:r>
          </w:p>
        </w:tc>
        <w:tc>
          <w:tcPr>
            <w:tcW w:w="37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1" w:after="0"/>
              <w:ind w:left="0" w:right="0" w:hanging="0"/>
              <w:jc w:val="left"/>
              <w:rPr/>
            </w:pPr>
            <w:r>
              <w:rPr/>
              <w:t>​</w:t>
            </w:r>
          </w:p>
        </w:tc>
        <w:tc>
          <w:tcPr>
            <w:tcW w:w="305" w:type="dxa"/>
            <w:tcBorders/>
            <w:vAlign w:val="center"/>
          </w:tcPr>
          <w:p>
            <w:pPr>
              <w:pStyle w:val="TableContents"/>
              <w:bidi w:val="0"/>
              <w:spacing w:before="1" w:after="0"/>
              <w:ind w:left="0" w:right="0" w:hanging="0"/>
              <w:jc w:val="left"/>
              <w:rPr/>
            </w:pPr>
            <w:r>
              <w:rPr/>
              <w:t>​</w:t>
            </w:r>
          </w:p>
        </w:tc>
        <w:tc>
          <w:tcPr>
            <w:tcW w:w="61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570"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1" w:after="0"/>
              <w:ind w:left="0" w:right="0" w:hanging="0"/>
              <w:jc w:val="left"/>
              <w:rPr/>
            </w:pPr>
            <w:r>
              <w:rPr/>
              <w:t>​</w:t>
            </w:r>
          </w:p>
        </w:tc>
        <w:tc>
          <w:tcPr>
            <w:tcW w:w="234" w:type="dxa"/>
            <w:tcBorders/>
            <w:vAlign w:val="center"/>
          </w:tcPr>
          <w:p>
            <w:pPr>
              <w:pStyle w:val="TableContents"/>
              <w:bidi w:val="0"/>
              <w:spacing w:before="1" w:after="0"/>
              <w:ind w:left="0" w:right="0" w:hanging="0"/>
              <w:jc w:val="left"/>
              <w:rPr/>
            </w:pPr>
            <w:r>
              <w:rPr/>
              <w:t>​</w:t>
            </w:r>
          </w:p>
        </w:tc>
        <w:tc>
          <w:tcPr>
            <w:tcW w:w="4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1" w:after="0"/>
              <w:ind w:left="0" w:right="0" w:hanging="0"/>
              <w:jc w:val="left"/>
              <w:rPr/>
            </w:pPr>
            <w:r>
              <w:rPr/>
              <w:t>​</w:t>
            </w:r>
          </w:p>
        </w:tc>
        <w:tc>
          <w:tcPr>
            <w:tcW w:w="312" w:type="dxa"/>
            <w:tcBorders/>
            <w:shd w:fill="CCEEFF" w:val="clear"/>
            <w:vAlign w:val="center"/>
          </w:tcPr>
          <w:p>
            <w:pPr>
              <w:pStyle w:val="TableContents"/>
              <w:bidi w:val="0"/>
              <w:spacing w:before="1" w:after="0"/>
              <w:ind w:left="0" w:right="0" w:hanging="0"/>
              <w:jc w:val="left"/>
              <w:rPr/>
            </w:pPr>
            <w:r>
              <w:rPr/>
              <w:t>​</w:t>
            </w:r>
          </w:p>
        </w:tc>
        <w:tc>
          <w:tcPr>
            <w:tcW w:w="469"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52" w:type="dxa"/>
            <w:tcBorders/>
            <w:shd w:fill="CCEEFF" w:val="clear"/>
            <w:vAlign w:val="center"/>
          </w:tcPr>
          <w:p>
            <w:pPr>
              <w:pStyle w:val="TableContents"/>
              <w:bidi w:val="0"/>
              <w:spacing w:before="1" w:after="0"/>
              <w:ind w:left="0" w:right="0" w:hanging="0"/>
              <w:jc w:val="left"/>
              <w:rPr/>
            </w:pPr>
            <w:r>
              <w:rPr/>
              <w:t>​</w:t>
            </w:r>
          </w:p>
        </w:tc>
        <w:tc>
          <w:tcPr>
            <w:tcW w:w="379"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05" w:type="dxa"/>
            <w:tcBorders/>
            <w:shd w:fill="CCEEFF" w:val="clear"/>
            <w:vAlign w:val="center"/>
          </w:tcPr>
          <w:p>
            <w:pPr>
              <w:pStyle w:val="TableContents"/>
              <w:bidi w:val="0"/>
              <w:spacing w:before="1" w:after="0"/>
              <w:ind w:left="0" w:right="0" w:hanging="0"/>
              <w:jc w:val="left"/>
              <w:rPr/>
            </w:pPr>
            <w:r>
              <w:rPr/>
              <w:t>​</w:t>
            </w:r>
          </w:p>
        </w:tc>
        <w:tc>
          <w:tcPr>
            <w:tcW w:w="61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570"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34" w:type="dxa"/>
            <w:tcBorders/>
            <w:shd w:fill="CCEEFF" w:val="clear"/>
            <w:vAlign w:val="center"/>
          </w:tcPr>
          <w:p>
            <w:pPr>
              <w:pStyle w:val="TableContents"/>
              <w:bidi w:val="0"/>
              <w:spacing w:before="1" w:after="0"/>
              <w:ind w:left="0" w:right="0" w:hanging="0"/>
              <w:jc w:val="left"/>
              <w:rPr/>
            </w:pPr>
            <w:r>
              <w:rPr/>
              <w:t>​</w:t>
            </w:r>
          </w:p>
        </w:tc>
        <w:tc>
          <w:tcPr>
            <w:tcW w:w="471" w:type="dxa"/>
            <w:tcBorders/>
            <w:shd w:fill="CCEEFF" w:val="clear"/>
            <w:vAlign w:val="center"/>
          </w:tcPr>
          <w:p>
            <w:pPr>
              <w:pStyle w:val="TableContents"/>
              <w:bidi w:val="0"/>
              <w:spacing w:before="1" w:after="0"/>
              <w:ind w:left="0" w:right="0" w:hanging="0"/>
              <w:jc w:val="left"/>
              <w:rPr/>
            </w:pPr>
            <w:r>
              <w:rPr/>
              <w:t>​</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1" w:after="0"/>
              <w:ind w:left="0" w:right="0" w:hanging="0"/>
              <w:jc w:val="left"/>
              <w:rPr/>
            </w:pPr>
            <w:r>
              <w:rPr/>
              <w:t>​</w:t>
            </w:r>
          </w:p>
        </w:tc>
        <w:tc>
          <w:tcPr>
            <w:tcW w:w="31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1" w:after="0"/>
              <w:ind w:left="0" w:right="0" w:hanging="0"/>
              <w:jc w:val="left"/>
              <w:rPr/>
            </w:pPr>
            <w:r>
              <w:rPr/>
              <w:t>​</w:t>
            </w:r>
          </w:p>
        </w:tc>
        <w:tc>
          <w:tcPr>
            <w:tcW w:w="252"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1" w:after="0"/>
              <w:ind w:left="0" w:right="0" w:hanging="0"/>
              <w:jc w:val="left"/>
              <w:rPr/>
            </w:pPr>
            <w:r>
              <w:rPr/>
              <w:t>​</w:t>
            </w:r>
          </w:p>
        </w:tc>
        <w:tc>
          <w:tcPr>
            <w:tcW w:w="305"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1" w:after="0"/>
              <w:ind w:left="0" w:right="0" w:hanging="0"/>
              <w:jc w:val="left"/>
              <w:rPr/>
            </w:pPr>
            <w:r>
              <w:rPr/>
              <w:t>​</w:t>
            </w:r>
          </w:p>
        </w:tc>
        <w:tc>
          <w:tcPr>
            <w:tcW w:w="234"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1" w:after="0"/>
              <w:ind w:left="0" w:right="0" w:hanging="0"/>
              <w:jc w:val="left"/>
              <w:rPr/>
            </w:pPr>
            <w:r>
              <w:rPr/>
              <w:t>​</w:t>
            </w:r>
          </w:p>
        </w:tc>
        <w:tc>
          <w:tcPr>
            <w:tcW w:w="312" w:type="dxa"/>
            <w:tcBorders/>
            <w:shd w:fill="CCEEFF" w:val="clear"/>
            <w:vAlign w:val="center"/>
          </w:tcPr>
          <w:p>
            <w:pPr>
              <w:pStyle w:val="TableContents"/>
              <w:bidi w:val="0"/>
              <w:spacing w:before="1" w:after="0"/>
              <w:ind w:left="0" w:right="0" w:hanging="0"/>
              <w:jc w:val="left"/>
              <w:rPr/>
            </w:pPr>
            <w:r>
              <w:rPr/>
              <w:t>​</w:t>
            </w:r>
          </w:p>
        </w:tc>
        <w:tc>
          <w:tcPr>
            <w:tcW w:w="46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1" w:after="0"/>
              <w:ind w:left="0" w:right="0" w:hanging="0"/>
              <w:jc w:val="left"/>
              <w:rPr/>
            </w:pPr>
            <w:r>
              <w:rPr/>
              <w:t>​</w:t>
            </w:r>
          </w:p>
        </w:tc>
        <w:tc>
          <w:tcPr>
            <w:tcW w:w="252" w:type="dxa"/>
            <w:tcBorders/>
            <w:shd w:fill="CCEEFF" w:val="clear"/>
            <w:vAlign w:val="center"/>
          </w:tcPr>
          <w:p>
            <w:pPr>
              <w:pStyle w:val="TableContents"/>
              <w:bidi w:val="0"/>
              <w:spacing w:before="1" w:after="0"/>
              <w:ind w:left="0" w:right="0" w:hanging="0"/>
              <w:jc w:val="left"/>
              <w:rPr/>
            </w:pPr>
            <w:r>
              <w:rPr/>
              <w:t>​</w:t>
            </w:r>
          </w:p>
        </w:tc>
        <w:tc>
          <w:tcPr>
            <w:tcW w:w="37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1" w:after="0"/>
              <w:ind w:left="0" w:right="0" w:hanging="0"/>
              <w:jc w:val="left"/>
              <w:rPr/>
            </w:pPr>
            <w:r>
              <w:rPr/>
              <w:t>​</w:t>
            </w:r>
          </w:p>
        </w:tc>
        <w:tc>
          <w:tcPr>
            <w:tcW w:w="305" w:type="dxa"/>
            <w:tcBorders/>
            <w:shd w:fill="CCEEFF" w:val="clear"/>
            <w:vAlign w:val="center"/>
          </w:tcPr>
          <w:p>
            <w:pPr>
              <w:pStyle w:val="TableContents"/>
              <w:bidi w:val="0"/>
              <w:spacing w:before="1" w:after="0"/>
              <w:ind w:left="0" w:right="0" w:hanging="0"/>
              <w:jc w:val="left"/>
              <w:rPr/>
            </w:pPr>
            <w:r>
              <w:rPr/>
              <w:t>​</w:t>
            </w:r>
          </w:p>
        </w:tc>
        <w:tc>
          <w:tcPr>
            <w:tcW w:w="61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570"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1" w:after="0"/>
              <w:ind w:left="0" w:right="0" w:hanging="0"/>
              <w:jc w:val="left"/>
              <w:rPr/>
            </w:pPr>
            <w:r>
              <w:rPr/>
              <w:t>​</w:t>
            </w:r>
          </w:p>
        </w:tc>
        <w:tc>
          <w:tcPr>
            <w:tcW w:w="234" w:type="dxa"/>
            <w:tcBorders/>
            <w:shd w:fill="CCEEFF" w:val="clear"/>
            <w:vAlign w:val="center"/>
          </w:tcPr>
          <w:p>
            <w:pPr>
              <w:pStyle w:val="TableContents"/>
              <w:bidi w:val="0"/>
              <w:spacing w:before="1" w:after="0"/>
              <w:ind w:left="0" w:right="0" w:hanging="0"/>
              <w:jc w:val="left"/>
              <w:rPr/>
            </w:pPr>
            <w:r>
              <w:rPr/>
              <w:t>​</w:t>
            </w:r>
          </w:p>
        </w:tc>
        <w:tc>
          <w:tcPr>
            <w:tcW w:w="4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154" w:type="dxa"/>
            <w:tcBorders/>
            <w:shd w:fill="CCEEFF" w:val="clear"/>
            <w:vAlign w:val="center"/>
          </w:tcPr>
          <w:p>
            <w:pPr>
              <w:pStyle w:val="TableContents"/>
              <w:bidi w:val="0"/>
              <w:spacing w:before="1" w:after="0"/>
              <w:ind w:left="0" w:right="0" w:hanging="0"/>
              <w:jc w:val="left"/>
              <w:rPr/>
            </w:pPr>
            <w:r>
              <w:rPr/>
              <w:t>​</w:t>
            </w:r>
          </w:p>
        </w:tc>
      </w:tr>
    </w:tbl>
    <w:p>
      <w:pPr>
        <w:pStyle w:val="TextBody"/>
        <w:bidi w:val="0"/>
        <w:spacing w:before="0" w:after="0"/>
        <w:ind w:left="0" w:right="0" w:hanging="0"/>
        <w:jc w:val="left"/>
        <w:rPr/>
      </w:pPr>
      <w:r>
        <w:rPr/>
        <w:t>​</w:t>
      </w:r>
    </w:p>
    <w:tbl>
      <w:tblPr>
        <w:tblW w:w="9195" w:type="dxa"/>
        <w:jc w:val="left"/>
        <w:tblInd w:w="0" w:type="dxa"/>
        <w:tblLayout w:type="fixed"/>
        <w:tblCellMar>
          <w:top w:w="0" w:type="dxa"/>
          <w:left w:w="0" w:type="dxa"/>
          <w:bottom w:w="0" w:type="dxa"/>
          <w:right w:w="0" w:type="dxa"/>
        </w:tblCellMar>
      </w:tblPr>
      <w:tblGrid>
        <w:gridCol w:w="3361"/>
        <w:gridCol w:w="346"/>
        <w:gridCol w:w="260"/>
        <w:gridCol w:w="521"/>
        <w:gridCol w:w="346"/>
        <w:gridCol w:w="211"/>
        <w:gridCol w:w="421"/>
        <w:gridCol w:w="346"/>
        <w:gridCol w:w="305"/>
        <w:gridCol w:w="611"/>
        <w:gridCol w:w="346"/>
        <w:gridCol w:w="346"/>
        <w:gridCol w:w="570"/>
        <w:gridCol w:w="346"/>
        <w:gridCol w:w="234"/>
        <w:gridCol w:w="471"/>
        <w:gridCol w:w="154"/>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34235" cy="175895"/>
                      <wp:effectExtent l="0" t="0" r="0" b="0"/>
                      <wp:wrapNone/>
                      <wp:docPr id="124" name="Frame123"/>
                      <a:graphic xmlns:a="http://schemas.openxmlformats.org/drawingml/2006/main">
                        <a:graphicData uri="http://schemas.microsoft.com/office/word/2010/wordprocessingShape">
                          <wps:wsp>
                            <wps:cNvSpPr txBox="1"/>
                            <wps:spPr>
                              <a:xfrm>
                                <a:off x="0" y="0"/>
                                <a:ext cx="21342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895"/>
                      <wp:effectExtent l="0" t="0" r="0" b="0"/>
                      <wp:wrapNone/>
                      <wp:docPr id="125" name="Frame12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5100" cy="175895"/>
                      <wp:effectExtent l="0" t="0" r="0" b="0"/>
                      <wp:wrapNone/>
                      <wp:docPr id="126" name="Frame125"/>
                      <a:graphic xmlns:a="http://schemas.openxmlformats.org/drawingml/2006/main">
                        <a:graphicData uri="http://schemas.microsoft.com/office/word/2010/wordprocessingShape">
                          <wps:wsp>
                            <wps:cNvSpPr txBox="1"/>
                            <wps:spPr>
                              <a:xfrm>
                                <a:off x="0" y="0"/>
                                <a:ext cx="16510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30835" cy="175895"/>
                      <wp:effectExtent l="0" t="0" r="0" b="0"/>
                      <wp:wrapNone/>
                      <wp:docPr id="127" name="Frame126"/>
                      <a:graphic xmlns:a="http://schemas.openxmlformats.org/drawingml/2006/main">
                        <a:graphicData uri="http://schemas.microsoft.com/office/word/2010/wordprocessingShape">
                          <wps:wsp>
                            <wps:cNvSpPr txBox="1"/>
                            <wps:spPr>
                              <a:xfrm>
                                <a:off x="0" y="0"/>
                                <a:ext cx="3308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895"/>
                      <wp:effectExtent l="0" t="0" r="0" b="0"/>
                      <wp:wrapNone/>
                      <wp:docPr id="128" name="Frame12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895"/>
                      <wp:effectExtent l="0" t="0" r="0" b="0"/>
                      <wp:wrapNone/>
                      <wp:docPr id="129" name="Frame12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67335" cy="175895"/>
                      <wp:effectExtent l="0" t="0" r="0" b="0"/>
                      <wp:wrapNone/>
                      <wp:docPr id="130" name="Frame129"/>
                      <a:graphic xmlns:a="http://schemas.openxmlformats.org/drawingml/2006/main">
                        <a:graphicData uri="http://schemas.microsoft.com/office/word/2010/wordprocessingShape">
                          <wps:wsp>
                            <wps:cNvSpPr txBox="1"/>
                            <wps:spPr>
                              <a:xfrm>
                                <a:off x="0" y="0"/>
                                <a:ext cx="2673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895"/>
                      <wp:effectExtent l="0" t="0" r="0" b="0"/>
                      <wp:wrapNone/>
                      <wp:docPr id="131" name="Frame13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93675" cy="175895"/>
                      <wp:effectExtent l="0" t="0" r="0" b="0"/>
                      <wp:wrapNone/>
                      <wp:docPr id="132" name="Frame131"/>
                      <a:graphic xmlns:a="http://schemas.openxmlformats.org/drawingml/2006/main">
                        <a:graphicData uri="http://schemas.microsoft.com/office/word/2010/wordprocessingShape">
                          <wps:wsp>
                            <wps:cNvSpPr txBox="1"/>
                            <wps:spPr>
                              <a:xfrm>
                                <a:off x="0" y="0"/>
                                <a:ext cx="19367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87985" cy="175895"/>
                      <wp:effectExtent l="0" t="0" r="0" b="0"/>
                      <wp:wrapNone/>
                      <wp:docPr id="133" name="Frame132"/>
                      <a:graphic xmlns:a="http://schemas.openxmlformats.org/drawingml/2006/main">
                        <a:graphicData uri="http://schemas.microsoft.com/office/word/2010/wordprocessingShape">
                          <wps:wsp>
                            <wps:cNvSpPr txBox="1"/>
                            <wps:spPr>
                              <a:xfrm>
                                <a:off x="0" y="0"/>
                                <a:ext cx="387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895"/>
                      <wp:effectExtent l="0" t="0" r="0" b="0"/>
                      <wp:wrapNone/>
                      <wp:docPr id="134" name="Frame13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895"/>
                      <wp:effectExtent l="0" t="0" r="0" b="0"/>
                      <wp:wrapNone/>
                      <wp:docPr id="135" name="Frame13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61950" cy="175895"/>
                      <wp:effectExtent l="0" t="0" r="0" b="0"/>
                      <wp:wrapNone/>
                      <wp:docPr id="136" name="Frame135"/>
                      <a:graphic xmlns:a="http://schemas.openxmlformats.org/drawingml/2006/main">
                        <a:graphicData uri="http://schemas.microsoft.com/office/word/2010/wordprocessingShape">
                          <wps:wsp>
                            <wps:cNvSpPr txBox="1"/>
                            <wps:spPr>
                              <a:xfrm>
                                <a:off x="0" y="0"/>
                                <a:ext cx="36195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895"/>
                      <wp:effectExtent l="0" t="0" r="0" b="0"/>
                      <wp:wrapNone/>
                      <wp:docPr id="137" name="Frame13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48590" cy="175895"/>
                      <wp:effectExtent l="0" t="0" r="0" b="0"/>
                      <wp:wrapNone/>
                      <wp:docPr id="138" name="Frame137"/>
                      <a:graphic xmlns:a="http://schemas.openxmlformats.org/drawingml/2006/main">
                        <a:graphicData uri="http://schemas.microsoft.com/office/word/2010/wordprocessingShape">
                          <wps:wsp>
                            <wps:cNvSpPr txBox="1"/>
                            <wps:spPr>
                              <a:xfrm>
                                <a:off x="0" y="0"/>
                                <a:ext cx="14859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99085" cy="175895"/>
                      <wp:effectExtent l="0" t="0" r="0" b="0"/>
                      <wp:wrapNone/>
                      <wp:docPr id="139" name="Frame138"/>
                      <a:graphic xmlns:a="http://schemas.openxmlformats.org/drawingml/2006/main">
                        <a:graphicData uri="http://schemas.microsoft.com/office/word/2010/wordprocessingShape">
                          <wps:wsp>
                            <wps:cNvSpPr txBox="1"/>
                            <wps:spPr>
                              <a:xfrm>
                                <a:off x="0" y="0"/>
                                <a:ext cx="2990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97790" cy="175895"/>
                      <wp:effectExtent l="0" t="0" r="0" b="0"/>
                      <wp:wrapNone/>
                      <wp:docPr id="140" name="Frame139"/>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5334" w:type="dxa"/>
            <w:gridSpan w:val="14"/>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260" w:type="dxa"/>
            <w:tcBorders/>
            <w:vAlign w:val="center"/>
          </w:tcPr>
          <w:p>
            <w:pPr>
              <w:pStyle w:val="TableContents"/>
              <w:bidi w:val="0"/>
              <w:spacing w:before="1" w:after="0"/>
              <w:ind w:left="0" w:right="0" w:hanging="0"/>
              <w:jc w:val="center"/>
              <w:rPr/>
            </w:pPr>
            <w:r>
              <w:rPr/>
              <w:t>​</w:t>
            </w:r>
          </w:p>
        </w:tc>
        <w:tc>
          <w:tcPr>
            <w:tcW w:w="521"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  ​ ​ ​</w:t>
            </w:r>
          </w:p>
        </w:tc>
        <w:tc>
          <w:tcPr>
            <w:tcW w:w="211" w:type="dxa"/>
            <w:tcBorders/>
            <w:vAlign w:val="center"/>
          </w:tcPr>
          <w:p>
            <w:pPr>
              <w:pStyle w:val="TableContents"/>
              <w:bidi w:val="0"/>
              <w:spacing w:before="1" w:after="0"/>
              <w:ind w:left="0" w:right="0" w:hanging="0"/>
              <w:jc w:val="center"/>
              <w:rPr/>
            </w:pPr>
            <w:r>
              <w:rPr/>
              <w:t>​</w:t>
            </w:r>
          </w:p>
        </w:tc>
        <w:tc>
          <w:tcPr>
            <w:tcW w:w="421"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  ​ ​ ​</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c>
          <w:tcPr>
            <w:tcW w:w="346" w:type="dxa"/>
            <w:tcBorders/>
            <w:vAlign w:val="center"/>
          </w:tcPr>
          <w:p>
            <w:pPr>
              <w:pStyle w:val="TableContents"/>
              <w:bidi w:val="0"/>
              <w:spacing w:before="1" w:after="0"/>
              <w:ind w:left="0" w:right="0" w:hanging="0"/>
              <w:jc w:val="center"/>
              <w:rPr/>
            </w:pPr>
            <w:r>
              <w:rPr/>
              <w:t>  ​ ​ ​</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1" w:after="0"/>
              <w:ind w:left="0" w:right="0" w:hanging="0"/>
              <w:jc w:val="center"/>
              <w:rPr/>
            </w:pPr>
            <w:r>
              <w:rPr/>
              <w:t>  ​ ​ ​</w:t>
            </w:r>
          </w:p>
        </w:tc>
        <w:tc>
          <w:tcPr>
            <w:tcW w:w="705"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Consoli-</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w:t>
            </w:r>
          </w:p>
        </w:tc>
        <w:tc>
          <w:tcPr>
            <w:tcW w:w="781" w:type="dxa"/>
            <w:gridSpan w:val="2"/>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w:t>
            </w:r>
          </w:p>
        </w:tc>
        <w:tc>
          <w:tcPr>
            <w:tcW w:w="211" w:type="dxa"/>
            <w:tcBorders/>
            <w:vAlign w:val="center"/>
          </w:tcPr>
          <w:p>
            <w:pPr>
              <w:pStyle w:val="TableContents"/>
              <w:bidi w:val="0"/>
              <w:spacing w:before="1" w:after="0"/>
              <w:ind w:left="0" w:right="0" w:hanging="0"/>
              <w:jc w:val="center"/>
              <w:rPr/>
            </w:pPr>
            <w:r>
              <w:rPr/>
              <w:t>​</w:t>
            </w:r>
          </w:p>
        </w:tc>
        <w:tc>
          <w:tcPr>
            <w:tcW w:w="421" w:type="dxa"/>
            <w:tcBorders/>
            <w:vAlign w:val="center"/>
          </w:tcPr>
          <w:p>
            <w:pPr>
              <w:pStyle w:val="TableContents"/>
              <w:bidi w:val="0"/>
              <w:spacing w:before="1" w:after="0"/>
              <w:ind w:left="0" w:right="0" w:hanging="0"/>
              <w:jc w:val="center"/>
              <w:rPr/>
            </w:pPr>
            <w:r>
              <w:rPr/>
              <w:t>​</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Corp Costs</w:t>
            </w:r>
          </w:p>
        </w:tc>
        <w:tc>
          <w:tcPr>
            <w:tcW w:w="346" w:type="dxa"/>
            <w:tcBorders/>
            <w:vAlign w:val="center"/>
          </w:tcPr>
          <w:p>
            <w:pPr>
              <w:pStyle w:val="TableContents"/>
              <w:bidi w:val="0"/>
              <w:spacing w:before="1" w:after="0"/>
              <w:ind w:left="0" w:right="0" w:hanging="0"/>
              <w:jc w:val="center"/>
              <w:rPr/>
            </w:pPr>
            <w:r>
              <w:rPr/>
              <w:t>​</w:t>
            </w:r>
          </w:p>
        </w:tc>
        <w:tc>
          <w:tcPr>
            <w:tcW w:w="705"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dated</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w:t>
            </w:r>
          </w:p>
        </w:tc>
        <w:tc>
          <w:tcPr>
            <w:tcW w:w="781"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346" w:type="dxa"/>
            <w:tcBorders/>
            <w:vAlign w:val="center"/>
          </w:tcPr>
          <w:p>
            <w:pPr>
              <w:pStyle w:val="TableContents"/>
              <w:bidi w:val="0"/>
              <w:spacing w:before="1" w:after="0"/>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Totals</w:t>
            </w:r>
          </w:p>
        </w:tc>
        <w:tc>
          <w:tcPr>
            <w:tcW w:w="346" w:type="dxa"/>
            <w:tcBorders/>
            <w:vAlign w:val="center"/>
          </w:tcPr>
          <w:p>
            <w:pPr>
              <w:pStyle w:val="TableContents"/>
              <w:bidi w:val="0"/>
              <w:spacing w:before="1"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and Other</w:t>
            </w:r>
          </w:p>
        </w:tc>
        <w:tc>
          <w:tcPr>
            <w:tcW w:w="346" w:type="dxa"/>
            <w:tcBorders/>
            <w:vAlign w:val="center"/>
          </w:tcPr>
          <w:p>
            <w:pPr>
              <w:pStyle w:val="TableContents"/>
              <w:bidi w:val="0"/>
              <w:spacing w:before="1" w:after="0"/>
              <w:ind w:left="0" w:right="0" w:hanging="0"/>
              <w:jc w:val="center"/>
              <w:rPr/>
            </w:pPr>
            <w:r>
              <w:rPr/>
              <w:t>​</w:t>
            </w:r>
          </w:p>
        </w:tc>
        <w:tc>
          <w:tcPr>
            <w:tcW w:w="705"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Totals</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Equity earnings:</w:t>
            </w:r>
          </w:p>
        </w:tc>
        <w:tc>
          <w:tcPr>
            <w:tcW w:w="346" w:type="dxa"/>
            <w:tcBorders/>
            <w:shd w:fill="CCEEFF" w:val="clear"/>
            <w:vAlign w:val="center"/>
          </w:tcPr>
          <w:p>
            <w:pPr>
              <w:pStyle w:val="TableContents"/>
              <w:bidi w:val="0"/>
              <w:spacing w:before="1" w:after="0"/>
              <w:ind w:left="0" w:right="0" w:hanging="0"/>
              <w:jc w:val="left"/>
              <w:rPr/>
            </w:pPr>
            <w:r>
              <w:rPr/>
              <w:t>​</w:t>
            </w:r>
          </w:p>
        </w:tc>
        <w:tc>
          <w:tcPr>
            <w:tcW w:w="260" w:type="dxa"/>
            <w:tcBorders/>
            <w:shd w:fill="CCEEFF" w:val="clear"/>
            <w:vAlign w:val="center"/>
          </w:tcPr>
          <w:p>
            <w:pPr>
              <w:pStyle w:val="TableContents"/>
              <w:bidi w:val="0"/>
              <w:spacing w:before="1" w:after="0"/>
              <w:ind w:left="0" w:right="0" w:hanging="0"/>
              <w:jc w:val="left"/>
              <w:rPr/>
            </w:pPr>
            <w:r>
              <w:rPr/>
              <w:t>​</w:t>
            </w:r>
          </w:p>
        </w:tc>
        <w:tc>
          <w:tcPr>
            <w:tcW w:w="52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42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05" w:type="dxa"/>
            <w:tcBorders/>
            <w:shd w:fill="CCEEFF" w:val="clear"/>
            <w:vAlign w:val="center"/>
          </w:tcPr>
          <w:p>
            <w:pPr>
              <w:pStyle w:val="TableContents"/>
              <w:bidi w:val="0"/>
              <w:spacing w:before="1" w:after="0"/>
              <w:ind w:left="0" w:right="0" w:hanging="0"/>
              <w:jc w:val="left"/>
              <w:rPr/>
            </w:pPr>
            <w:r>
              <w:rPr/>
              <w:t>​</w:t>
            </w:r>
          </w:p>
        </w:tc>
        <w:tc>
          <w:tcPr>
            <w:tcW w:w="61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570"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34" w:type="dxa"/>
            <w:tcBorders/>
            <w:shd w:fill="CCEEFF" w:val="clear"/>
            <w:vAlign w:val="center"/>
          </w:tcPr>
          <w:p>
            <w:pPr>
              <w:pStyle w:val="TableContents"/>
              <w:bidi w:val="0"/>
              <w:spacing w:before="1" w:after="0"/>
              <w:ind w:left="0" w:right="0" w:hanging="0"/>
              <w:jc w:val="left"/>
              <w:rPr/>
            </w:pPr>
            <w:r>
              <w:rPr/>
              <w:t>​</w:t>
            </w:r>
          </w:p>
        </w:tc>
        <w:tc>
          <w:tcPr>
            <w:tcW w:w="471" w:type="dxa"/>
            <w:tcBorders/>
            <w:shd w:fill="CCEEFF" w:val="clear"/>
            <w:vAlign w:val="center"/>
          </w:tcPr>
          <w:p>
            <w:pPr>
              <w:pStyle w:val="TableContents"/>
              <w:bidi w:val="0"/>
              <w:spacing w:before="1" w:after="0"/>
              <w:ind w:left="0" w:right="0" w:hanging="0"/>
              <w:jc w:val="left"/>
              <w:rPr/>
            </w:pPr>
            <w:r>
              <w:rPr/>
              <w:t>​</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1" w:after="0"/>
              <w:ind w:left="0" w:right="0" w:hanging="0"/>
              <w:jc w:val="left"/>
              <w:rPr/>
            </w:pPr>
            <w:r>
              <w:rPr/>
              <w:t>​</w:t>
            </w:r>
          </w:p>
        </w:tc>
        <w:tc>
          <w:tcPr>
            <w:tcW w:w="260"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1" w:after="0"/>
              <w:ind w:left="0" w:right="0" w:hanging="0"/>
              <w:jc w:val="left"/>
              <w:rPr/>
            </w:pPr>
            <w:r>
              <w:rPr/>
              <w:t>​</w:t>
            </w:r>
          </w:p>
        </w:tc>
        <w:tc>
          <w:tcPr>
            <w:tcW w:w="305"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left"/>
              <w:rPr/>
            </w:pPr>
            <w:r>
              <w:rPr/>
              <w:t>​</w:t>
            </w:r>
          </w:p>
        </w:tc>
        <w:tc>
          <w:tcPr>
            <w:tcW w:w="234"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1" w:after="0"/>
              <w:ind w:left="0" w:right="0" w:hanging="0"/>
              <w:jc w:val="left"/>
              <w:rPr/>
            </w:pPr>
            <w:r>
              <w:rPr/>
              <w:t>​</w:t>
            </w:r>
          </w:p>
        </w:tc>
        <w:tc>
          <w:tcPr>
            <w:tcW w:w="260" w:type="dxa"/>
            <w:tcBorders/>
            <w:shd w:fill="CCEEFF" w:val="clear"/>
            <w:vAlign w:val="center"/>
          </w:tcPr>
          <w:p>
            <w:pPr>
              <w:pStyle w:val="TableContents"/>
              <w:bidi w:val="0"/>
              <w:spacing w:before="1" w:after="0"/>
              <w:ind w:left="0" w:right="0" w:hanging="0"/>
              <w:jc w:val="left"/>
              <w:rPr/>
            </w:pPr>
            <w:r>
              <w:rPr/>
              <w:t>​</w:t>
            </w:r>
          </w:p>
        </w:tc>
        <w:tc>
          <w:tcPr>
            <w:tcW w:w="52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42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1" w:after="0"/>
              <w:ind w:left="0" w:right="0" w:hanging="0"/>
              <w:jc w:val="left"/>
              <w:rPr/>
            </w:pPr>
            <w:r>
              <w:rPr/>
              <w:t>​</w:t>
            </w:r>
          </w:p>
        </w:tc>
        <w:tc>
          <w:tcPr>
            <w:tcW w:w="305" w:type="dxa"/>
            <w:tcBorders/>
            <w:shd w:fill="CCEEFF" w:val="clear"/>
            <w:vAlign w:val="center"/>
          </w:tcPr>
          <w:p>
            <w:pPr>
              <w:pStyle w:val="TableContents"/>
              <w:bidi w:val="0"/>
              <w:spacing w:before="1" w:after="0"/>
              <w:ind w:left="0" w:right="0" w:hanging="0"/>
              <w:jc w:val="left"/>
              <w:rPr/>
            </w:pPr>
            <w:r>
              <w:rPr/>
              <w:t>​</w:t>
            </w:r>
          </w:p>
        </w:tc>
        <w:tc>
          <w:tcPr>
            <w:tcW w:w="61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570"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34" w:type="dxa"/>
            <w:tcBorders/>
            <w:shd w:fill="CCEEFF" w:val="clear"/>
            <w:vAlign w:val="center"/>
          </w:tcPr>
          <w:p>
            <w:pPr>
              <w:pStyle w:val="TableContents"/>
              <w:bidi w:val="0"/>
              <w:spacing w:before="1" w:after="0"/>
              <w:ind w:left="0" w:right="0" w:hanging="0"/>
              <w:jc w:val="left"/>
              <w:rPr/>
            </w:pPr>
            <w:r>
              <w:rPr/>
              <w:t>​</w:t>
            </w:r>
          </w:p>
        </w:tc>
        <w:tc>
          <w:tcPr>
            <w:tcW w:w="4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1" w:after="0"/>
              <w:ind w:left="0" w:right="0" w:hanging="0"/>
              <w:jc w:val="left"/>
              <w:rPr/>
            </w:pPr>
            <w:r>
              <w:rPr/>
              <w:t>​</w:t>
            </w:r>
          </w:p>
        </w:tc>
        <w:tc>
          <w:tcPr>
            <w:tcW w:w="260" w:type="dxa"/>
            <w:tcBorders/>
            <w:vAlign w:val="center"/>
          </w:tcPr>
          <w:p>
            <w:pPr>
              <w:pStyle w:val="TableContents"/>
              <w:bidi w:val="0"/>
              <w:spacing w:before="1" w:after="0"/>
              <w:ind w:left="0" w:right="0" w:hanging="0"/>
              <w:jc w:val="left"/>
              <w:rPr/>
            </w:pPr>
            <w:r>
              <w:rPr/>
              <w:t>​</w:t>
            </w:r>
          </w:p>
        </w:tc>
        <w:tc>
          <w:tcPr>
            <w:tcW w:w="52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42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305" w:type="dxa"/>
            <w:tcBorders/>
            <w:vAlign w:val="center"/>
          </w:tcPr>
          <w:p>
            <w:pPr>
              <w:pStyle w:val="TableContents"/>
              <w:bidi w:val="0"/>
              <w:spacing w:before="1" w:after="0"/>
              <w:ind w:left="0" w:right="0" w:hanging="0"/>
              <w:jc w:val="left"/>
              <w:rPr/>
            </w:pPr>
            <w:r>
              <w:rPr/>
              <w:t>​</w:t>
            </w:r>
          </w:p>
        </w:tc>
        <w:tc>
          <w:tcPr>
            <w:tcW w:w="61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570"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34" w:type="dxa"/>
            <w:tcBorders/>
            <w:vAlign w:val="center"/>
          </w:tcPr>
          <w:p>
            <w:pPr>
              <w:pStyle w:val="TableContents"/>
              <w:bidi w:val="0"/>
              <w:spacing w:before="1" w:after="0"/>
              <w:ind w:left="0" w:right="0" w:hanging="0"/>
              <w:jc w:val="left"/>
              <w:rPr/>
            </w:pPr>
            <w:r>
              <w:rPr/>
              <w:t>​</w:t>
            </w:r>
          </w:p>
        </w:tc>
        <w:tc>
          <w:tcPr>
            <w:tcW w:w="471" w:type="dxa"/>
            <w:tcBorders/>
            <w:vAlign w:val="center"/>
          </w:tcPr>
          <w:p>
            <w:pPr>
              <w:pStyle w:val="TableContents"/>
              <w:bidi w:val="0"/>
              <w:spacing w:before="1" w:after="0"/>
              <w:ind w:left="0" w:right="0" w:hanging="0"/>
              <w:jc w:val="left"/>
              <w:rPr/>
            </w:pPr>
            <w:r>
              <w:rPr/>
              <w:t>​</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1" w:after="0"/>
              <w:ind w:left="0" w:right="0" w:hanging="0"/>
              <w:jc w:val="left"/>
              <w:rPr/>
            </w:pPr>
            <w:r>
              <w:rPr/>
              <w:t>​</w:t>
            </w:r>
          </w:p>
        </w:tc>
        <w:tc>
          <w:tcPr>
            <w:tcW w:w="260"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1" w:after="0"/>
              <w:ind w:left="0" w:right="0" w:hanging="0"/>
              <w:jc w:val="left"/>
              <w:rPr/>
            </w:pPr>
            <w:r>
              <w:rPr/>
              <w:t>​</w:t>
            </w:r>
          </w:p>
        </w:tc>
        <w:tc>
          <w:tcPr>
            <w:tcW w:w="305"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1" w:after="0"/>
              <w:ind w:left="0" w:right="0" w:hanging="0"/>
              <w:jc w:val="left"/>
              <w:rPr/>
            </w:pPr>
            <w:r>
              <w:rPr/>
              <w:t>​</w:t>
            </w:r>
          </w:p>
        </w:tc>
        <w:tc>
          <w:tcPr>
            <w:tcW w:w="234"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1" w:after="0"/>
              <w:ind w:left="0" w:right="0" w:hanging="0"/>
              <w:jc w:val="left"/>
              <w:rPr/>
            </w:pPr>
            <w:r>
              <w:rPr/>
              <w:t>​</w:t>
            </w:r>
          </w:p>
        </w:tc>
        <w:tc>
          <w:tcPr>
            <w:tcW w:w="260" w:type="dxa"/>
            <w:tcBorders/>
            <w:vAlign w:val="center"/>
          </w:tcPr>
          <w:p>
            <w:pPr>
              <w:pStyle w:val="TableContents"/>
              <w:bidi w:val="0"/>
              <w:spacing w:before="1" w:after="0"/>
              <w:ind w:left="0" w:right="0" w:hanging="0"/>
              <w:jc w:val="left"/>
              <w:rPr/>
            </w:pPr>
            <w:r>
              <w:rPr/>
              <w:t>​</w:t>
            </w:r>
          </w:p>
        </w:tc>
        <w:tc>
          <w:tcPr>
            <w:tcW w:w="52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42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vAlign w:val="center"/>
          </w:tcPr>
          <w:p>
            <w:pPr>
              <w:pStyle w:val="TableContents"/>
              <w:bidi w:val="0"/>
              <w:spacing w:before="1" w:after="0"/>
              <w:ind w:left="0" w:right="0" w:hanging="0"/>
              <w:jc w:val="left"/>
              <w:rPr/>
            </w:pPr>
            <w:r>
              <w:rPr/>
              <w:t>​</w:t>
            </w:r>
          </w:p>
        </w:tc>
        <w:tc>
          <w:tcPr>
            <w:tcW w:w="305" w:type="dxa"/>
            <w:tcBorders/>
            <w:vAlign w:val="center"/>
          </w:tcPr>
          <w:p>
            <w:pPr>
              <w:pStyle w:val="TableContents"/>
              <w:bidi w:val="0"/>
              <w:spacing w:before="1" w:after="0"/>
              <w:ind w:left="0" w:right="0" w:hanging="0"/>
              <w:jc w:val="left"/>
              <w:rPr/>
            </w:pPr>
            <w:r>
              <w:rPr/>
              <w:t>​</w:t>
            </w:r>
          </w:p>
        </w:tc>
        <w:tc>
          <w:tcPr>
            <w:tcW w:w="61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570"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1" w:after="0"/>
              <w:ind w:left="0" w:right="0" w:hanging="0"/>
              <w:jc w:val="left"/>
              <w:rPr/>
            </w:pPr>
            <w:r>
              <w:rPr/>
              <w:t>​</w:t>
            </w:r>
          </w:p>
        </w:tc>
        <w:tc>
          <w:tcPr>
            <w:tcW w:w="234" w:type="dxa"/>
            <w:tcBorders/>
            <w:vAlign w:val="center"/>
          </w:tcPr>
          <w:p>
            <w:pPr>
              <w:pStyle w:val="TableContents"/>
              <w:bidi w:val="0"/>
              <w:spacing w:before="1" w:after="0"/>
              <w:ind w:left="0" w:right="0" w:hanging="0"/>
              <w:jc w:val="left"/>
              <w:rPr/>
            </w:pPr>
            <w:r>
              <w:rPr/>
              <w:t>​</w:t>
            </w:r>
          </w:p>
        </w:tc>
        <w:tc>
          <w:tcPr>
            <w:tcW w:w="4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1" w:after="0"/>
              <w:ind w:left="0" w:right="0" w:hanging="0"/>
              <w:jc w:val="left"/>
              <w:rPr/>
            </w:pPr>
            <w:r>
              <w:rPr/>
              <w:t>​</w:t>
            </w:r>
          </w:p>
        </w:tc>
        <w:tc>
          <w:tcPr>
            <w:tcW w:w="260" w:type="dxa"/>
            <w:tcBorders/>
            <w:shd w:fill="CCEEFF" w:val="clear"/>
            <w:vAlign w:val="center"/>
          </w:tcPr>
          <w:p>
            <w:pPr>
              <w:pStyle w:val="TableContents"/>
              <w:bidi w:val="0"/>
              <w:spacing w:before="1" w:after="0"/>
              <w:ind w:left="0" w:right="0" w:hanging="0"/>
              <w:jc w:val="left"/>
              <w:rPr/>
            </w:pPr>
            <w:r>
              <w:rPr/>
              <w:t>​</w:t>
            </w:r>
          </w:p>
        </w:tc>
        <w:tc>
          <w:tcPr>
            <w:tcW w:w="52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42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05" w:type="dxa"/>
            <w:tcBorders/>
            <w:shd w:fill="CCEEFF" w:val="clear"/>
            <w:vAlign w:val="center"/>
          </w:tcPr>
          <w:p>
            <w:pPr>
              <w:pStyle w:val="TableContents"/>
              <w:bidi w:val="0"/>
              <w:spacing w:before="1" w:after="0"/>
              <w:ind w:left="0" w:right="0" w:hanging="0"/>
              <w:jc w:val="left"/>
              <w:rPr/>
            </w:pPr>
            <w:r>
              <w:rPr/>
              <w:t>​</w:t>
            </w:r>
          </w:p>
        </w:tc>
        <w:tc>
          <w:tcPr>
            <w:tcW w:w="61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570"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34" w:type="dxa"/>
            <w:tcBorders/>
            <w:shd w:fill="CCEEFF" w:val="clear"/>
            <w:vAlign w:val="center"/>
          </w:tcPr>
          <w:p>
            <w:pPr>
              <w:pStyle w:val="TableContents"/>
              <w:bidi w:val="0"/>
              <w:spacing w:before="1" w:after="0"/>
              <w:ind w:left="0" w:right="0" w:hanging="0"/>
              <w:jc w:val="left"/>
              <w:rPr/>
            </w:pPr>
            <w:r>
              <w:rPr/>
              <w:t>​</w:t>
            </w:r>
          </w:p>
        </w:tc>
        <w:tc>
          <w:tcPr>
            <w:tcW w:w="471" w:type="dxa"/>
            <w:tcBorders/>
            <w:shd w:fill="CCEEFF" w:val="clear"/>
            <w:vAlign w:val="center"/>
          </w:tcPr>
          <w:p>
            <w:pPr>
              <w:pStyle w:val="TableContents"/>
              <w:bidi w:val="0"/>
              <w:spacing w:before="1" w:after="0"/>
              <w:ind w:left="0" w:right="0" w:hanging="0"/>
              <w:jc w:val="left"/>
              <w:rPr/>
            </w:pPr>
            <w:r>
              <w:rPr/>
              <w:t>​</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1" w:after="0"/>
              <w:ind w:left="0" w:right="0" w:hanging="0"/>
              <w:jc w:val="left"/>
              <w:rPr/>
            </w:pPr>
            <w:r>
              <w:rPr/>
              <w:t>​</w:t>
            </w:r>
          </w:p>
        </w:tc>
        <w:tc>
          <w:tcPr>
            <w:tcW w:w="260"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1" w:after="0"/>
              <w:ind w:left="0" w:right="0" w:hanging="0"/>
              <w:jc w:val="left"/>
              <w:rPr/>
            </w:pPr>
            <w:r>
              <w:rPr/>
              <w:t>​</w:t>
            </w:r>
          </w:p>
        </w:tc>
        <w:tc>
          <w:tcPr>
            <w:tcW w:w="305"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1" w:after="0"/>
              <w:ind w:left="0" w:right="0" w:hanging="0"/>
              <w:jc w:val="left"/>
              <w:rPr/>
            </w:pPr>
            <w:r>
              <w:rPr/>
              <w:t>​</w:t>
            </w:r>
          </w:p>
        </w:tc>
        <w:tc>
          <w:tcPr>
            <w:tcW w:w="234"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154"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1" w:after="0"/>
              <w:ind w:left="0" w:right="0" w:hanging="0"/>
              <w:jc w:val="left"/>
              <w:rPr/>
            </w:pPr>
            <w:r>
              <w:rPr/>
              <w:t>​</w:t>
            </w:r>
          </w:p>
        </w:tc>
        <w:tc>
          <w:tcPr>
            <w:tcW w:w="260" w:type="dxa"/>
            <w:tcBorders/>
            <w:shd w:fill="CCEEFF" w:val="clear"/>
            <w:vAlign w:val="center"/>
          </w:tcPr>
          <w:p>
            <w:pPr>
              <w:pStyle w:val="TableContents"/>
              <w:bidi w:val="0"/>
              <w:spacing w:before="1" w:after="0"/>
              <w:ind w:left="0" w:right="0" w:hanging="0"/>
              <w:jc w:val="left"/>
              <w:rPr/>
            </w:pPr>
            <w:r>
              <w:rPr/>
              <w:t>​</w:t>
            </w:r>
          </w:p>
        </w:tc>
        <w:tc>
          <w:tcPr>
            <w:tcW w:w="52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42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1" w:after="0"/>
              <w:ind w:left="0" w:right="0" w:hanging="0"/>
              <w:jc w:val="left"/>
              <w:rPr/>
            </w:pPr>
            <w:r>
              <w:rPr/>
              <w:t>​</w:t>
            </w:r>
          </w:p>
        </w:tc>
        <w:tc>
          <w:tcPr>
            <w:tcW w:w="305" w:type="dxa"/>
            <w:tcBorders/>
            <w:shd w:fill="CCEEFF" w:val="clear"/>
            <w:vAlign w:val="center"/>
          </w:tcPr>
          <w:p>
            <w:pPr>
              <w:pStyle w:val="TableContents"/>
              <w:bidi w:val="0"/>
              <w:spacing w:before="1" w:after="0"/>
              <w:ind w:left="0" w:right="0" w:hanging="0"/>
              <w:jc w:val="left"/>
              <w:rPr/>
            </w:pPr>
            <w:r>
              <w:rPr/>
              <w:t>​</w:t>
            </w:r>
          </w:p>
        </w:tc>
        <w:tc>
          <w:tcPr>
            <w:tcW w:w="61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570"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1" w:after="0"/>
              <w:ind w:left="0" w:right="0" w:hanging="0"/>
              <w:jc w:val="left"/>
              <w:rPr/>
            </w:pPr>
            <w:r>
              <w:rPr/>
              <w:t>​</w:t>
            </w:r>
          </w:p>
        </w:tc>
        <w:tc>
          <w:tcPr>
            <w:tcW w:w="234" w:type="dxa"/>
            <w:tcBorders/>
            <w:shd w:fill="CCEEFF" w:val="clear"/>
            <w:vAlign w:val="center"/>
          </w:tcPr>
          <w:p>
            <w:pPr>
              <w:pStyle w:val="TableContents"/>
              <w:bidi w:val="0"/>
              <w:spacing w:before="1" w:after="0"/>
              <w:ind w:left="0" w:right="0" w:hanging="0"/>
              <w:jc w:val="left"/>
              <w:rPr/>
            </w:pPr>
            <w:r>
              <w:rPr/>
              <w:t>​</w:t>
            </w:r>
          </w:p>
        </w:tc>
        <w:tc>
          <w:tcPr>
            <w:tcW w:w="4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154" w:type="dxa"/>
            <w:tcBorders/>
            <w:shd w:fill="CCEEFF" w:val="clear"/>
            <w:vAlign w:val="center"/>
          </w:tcPr>
          <w:p>
            <w:pPr>
              <w:pStyle w:val="TableContents"/>
              <w:bidi w:val="0"/>
              <w:spacing w:before="1"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tangible long-lived assets, including property, plant and equipment and operating lease right-of-use assets, by geographic region are as follows:</w:t>
      </w:r>
    </w:p>
    <w:p>
      <w:pPr>
        <w:pStyle w:val="TextBody"/>
        <w:bidi w:val="0"/>
        <w:spacing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541"/>
        <w:gridCol w:w="346"/>
        <w:gridCol w:w="211"/>
        <w:gridCol w:w="421"/>
        <w:gridCol w:w="346"/>
        <w:gridCol w:w="211"/>
        <w:gridCol w:w="571"/>
        <w:gridCol w:w="346"/>
        <w:gridCol w:w="211"/>
        <w:gridCol w:w="571"/>
        <w:gridCol w:w="19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43535" cy="175260"/>
                      <wp:effectExtent l="0" t="0" r="0" b="0"/>
                      <wp:wrapNone/>
                      <wp:docPr id="141" name="Frame14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67335" cy="175260"/>
                      <wp:effectExtent l="0" t="0" r="0" b="0"/>
                      <wp:wrapNone/>
                      <wp:docPr id="144" name="Frame14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260"/>
                      <wp:effectExtent l="0" t="0" r="0" b="0"/>
                      <wp:wrapNone/>
                      <wp:docPr id="147" name="Frame1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62585" cy="175260"/>
                      <wp:effectExtent l="0" t="0" r="0" b="0"/>
                      <wp:wrapNone/>
                      <wp:docPr id="150" name="Frame1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1285" cy="175260"/>
                      <wp:effectExtent l="0" t="0" r="0" b="0"/>
                      <wp:wrapNone/>
                      <wp:docPr id="151" name="Frame15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191"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Non-U.S.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net sales by geographic region are as follows:</w:t>
      </w:r>
    </w:p>
    <w:p>
      <w:pPr>
        <w:pStyle w:val="TextBody"/>
        <w:bidi w:val="0"/>
        <w:spacing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541"/>
        <w:gridCol w:w="346"/>
        <w:gridCol w:w="211"/>
        <w:gridCol w:w="421"/>
        <w:gridCol w:w="346"/>
        <w:gridCol w:w="211"/>
        <w:gridCol w:w="571"/>
        <w:gridCol w:w="346"/>
        <w:gridCol w:w="211"/>
        <w:gridCol w:w="571"/>
        <w:gridCol w:w="19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43535" cy="175895"/>
                      <wp:effectExtent l="0" t="0" r="0" b="0"/>
                      <wp:wrapNone/>
                      <wp:docPr id="152" name="Frame151"/>
                      <a:graphic xmlns:a="http://schemas.openxmlformats.org/drawingml/2006/main">
                        <a:graphicData uri="http://schemas.microsoft.com/office/word/2010/wordprocessingShape">
                          <wps:wsp>
                            <wps:cNvSpPr txBox="1"/>
                            <wps:spPr>
                              <a:xfrm>
                                <a:off x="0" y="0"/>
                                <a:ext cx="3435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895"/>
                      <wp:effectExtent l="0" t="0" r="0" b="0"/>
                      <wp:wrapNone/>
                      <wp:docPr id="153" name="Frame15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895"/>
                      <wp:effectExtent l="0" t="0" r="0" b="0"/>
                      <wp:wrapNone/>
                      <wp:docPr id="154" name="Frame15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67335" cy="175895"/>
                      <wp:effectExtent l="0" t="0" r="0" b="0"/>
                      <wp:wrapNone/>
                      <wp:docPr id="155" name="Frame154"/>
                      <a:graphic xmlns:a="http://schemas.openxmlformats.org/drawingml/2006/main">
                        <a:graphicData uri="http://schemas.microsoft.com/office/word/2010/wordprocessingShape">
                          <wps:wsp>
                            <wps:cNvSpPr txBox="1"/>
                            <wps:spPr>
                              <a:xfrm>
                                <a:off x="0" y="0"/>
                                <a:ext cx="2673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895"/>
                      <wp:effectExtent l="0" t="0" r="0" b="0"/>
                      <wp:wrapNone/>
                      <wp:docPr id="156" name="Frame15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895"/>
                      <wp:effectExtent l="0" t="0" r="0" b="0"/>
                      <wp:wrapNone/>
                      <wp:docPr id="157" name="Frame15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62585" cy="175895"/>
                      <wp:effectExtent l="0" t="0" r="0" b="0"/>
                      <wp:wrapNone/>
                      <wp:docPr id="158" name="Frame157"/>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895"/>
                      <wp:effectExtent l="0" t="0" r="0" b="0"/>
                      <wp:wrapNone/>
                      <wp:docPr id="159" name="Frame15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895"/>
                      <wp:effectExtent l="0" t="0" r="0" b="0"/>
                      <wp:wrapNone/>
                      <wp:docPr id="160" name="Frame15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62585" cy="175895"/>
                      <wp:effectExtent l="0" t="0" r="0" b="0"/>
                      <wp:wrapNone/>
                      <wp:docPr id="161" name="Frame160"/>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21285" cy="175895"/>
                      <wp:effectExtent l="0" t="0" r="0" b="0"/>
                      <wp:wrapNone/>
                      <wp:docPr id="162" name="Frame161"/>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888" w:type="dxa"/>
            <w:gridSpan w:val="8"/>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91" w:type="dxa"/>
            <w:tcBorders/>
            <w:vAlign w:val="center"/>
          </w:tcPr>
          <w:p>
            <w:pPr>
              <w:pStyle w:val="TableContents"/>
              <w:bidi w:val="0"/>
              <w:spacing w:before="1" w:after="0"/>
              <w:ind w:left="0" w:right="0" w:hanging="0"/>
              <w:jc w:val="left"/>
              <w:rPr/>
            </w:pPr>
            <w:r>
              <w:rPr/>
              <w:t>​</w:t>
            </w:r>
          </w:p>
        </w:tc>
      </w:tr>
      <w:tr>
        <w:trPr/>
        <w:tc>
          <w:tcPr>
            <w:tcW w:w="54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1"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Non-U.S.</w:t>
            </w:r>
          </w:p>
        </w:tc>
        <w:tc>
          <w:tcPr>
            <w:tcW w:w="346" w:type="dxa"/>
            <w:tcBorders/>
            <w:vAlign w:val="center"/>
          </w:tcPr>
          <w:p>
            <w:pPr>
              <w:pStyle w:val="TableContents"/>
              <w:bidi w:val="0"/>
              <w:spacing w:before="1"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1" w:after="0"/>
              <w:ind w:left="0" w:right="0" w:hanging="0"/>
              <w:jc w:val="center"/>
              <w:rPr/>
            </w:pPr>
            <w:r>
              <w:rPr/>
              <w:t> </w:t>
            </w:r>
          </w:p>
        </w:tc>
      </w:tr>
      <w:tr>
        <w:trPr/>
        <w:tc>
          <w:tcPr>
            <w:tcW w:w="54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1,241</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191" w:type="dxa"/>
            <w:tcBorders/>
            <w:shd w:fill="CCEEFF" w:val="clear"/>
            <w:vAlign w:val="center"/>
          </w:tcPr>
          <w:p>
            <w:pPr>
              <w:pStyle w:val="TableContents"/>
              <w:bidi w:val="0"/>
              <w:spacing w:before="1" w:after="0"/>
              <w:ind w:left="0" w:right="0" w:hanging="0"/>
              <w:jc w:val="left"/>
              <w:rPr/>
            </w:pPr>
            <w:r>
              <w:rPr/>
              <w:t>​</w:t>
            </w:r>
          </w:p>
        </w:tc>
      </w:tr>
      <w:tr>
        <w:trPr/>
        <w:tc>
          <w:tcPr>
            <w:tcW w:w="54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 </w:t>
            </w:r>
          </w:p>
        </w:tc>
        <w:tc>
          <w:tcPr>
            <w:tcW w:w="42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1,706</w:t>
            </w:r>
          </w:p>
        </w:tc>
        <w:tc>
          <w:tcPr>
            <w:tcW w:w="191" w:type="dxa"/>
            <w:tcBorders/>
            <w:vAlign w:val="center"/>
          </w:tcPr>
          <w:p>
            <w:pPr>
              <w:pStyle w:val="TableContents"/>
              <w:bidi w:val="0"/>
              <w:spacing w:before="1"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firstLine="360"/>
        <w:jc w:val="left"/>
        <w:rPr>
          <w:rFonts w:ascii="Times New Roman;Times;serif" w:hAnsi="Times New Roman;Times;serif"/>
          <w:sz w:val="20"/>
        </w:rPr>
      </w:pPr>
      <w:bookmarkStart w:id="692" w:name="Tc_PVei8o3XiEKWENyoiseIow_4_0"/>
      <w:bookmarkStart w:id="693" w:name="Tc_BIV7LkvAAUyoh2kSFKwaNQ_3_8"/>
      <w:bookmarkStart w:id="694" w:name="Tc_qrnR98U3FUeZRfB62UKkJA_3_5"/>
      <w:bookmarkStart w:id="695" w:name="Tc_TS99bcwvIUC1OO4_tYvXKQ_3_2"/>
      <w:bookmarkStart w:id="696" w:name="Tc_2OvQFB7-j0aKvSHDeqCx7Q_3_0"/>
      <w:bookmarkStart w:id="697" w:name="Tc_6JiAnb-u4UuwoWdGsl0t7g_2_8"/>
      <w:bookmarkStart w:id="698" w:name="Tc_UH6Zg83ndUKAsps8R5S4Jg_2_5"/>
      <w:bookmarkStart w:id="699" w:name="Tc_kSuu0AOm2Ua223eAjyPdTQ_2_2"/>
      <w:bookmarkStart w:id="700" w:name="Tc_ySQ9T6YD0ESNcXfco-G5Xw_1_2"/>
      <w:bookmarkEnd w:id="692"/>
      <w:bookmarkEnd w:id="693"/>
      <w:bookmarkEnd w:id="694"/>
      <w:bookmarkEnd w:id="695"/>
      <w:bookmarkEnd w:id="696"/>
      <w:bookmarkEnd w:id="697"/>
      <w:bookmarkEnd w:id="698"/>
      <w:bookmarkEnd w:id="699"/>
      <w:bookmarkEnd w:id="700"/>
      <w:r>
        <w:rPr>
          <w:rFonts w:ascii="Times New Roman;Times;serif" w:hAnsi="Times New Roman;Times;serif"/>
          <w:sz w:val="20"/>
        </w:rPr>
        <w:t>Operations outside the U.S. that accounted for 10% or more of consolidated net sales during the three months ended June 30, 2026 and 2025 were in France (2026-12%, 2025-12%), Italy (2026-13%, 2025-13%), and Mexico (2026-14%, 2025-14%).</w:t>
      </w:r>
    </w:p>
    <w:p>
      <w:pPr>
        <w:pStyle w:val="TextBody"/>
        <w:bidi w:val="0"/>
        <w:spacing w:before="0" w:after="0"/>
        <w:ind w:left="0" w:right="0" w:hanging="0"/>
        <w:jc w:val="left"/>
        <w:rPr/>
      </w:pPr>
      <w:r>
        <w:rPr/>
        <w:t>​</w:t>
      </w:r>
    </w:p>
    <w:tbl>
      <w:tblPr>
        <w:tblW w:w="3880" w:type="dxa"/>
        <w:jc w:val="left"/>
        <w:tblInd w:w="0" w:type="dxa"/>
        <w:tblLayout w:type="fixed"/>
        <w:tblCellMar>
          <w:top w:w="0" w:type="dxa"/>
          <w:left w:w="0" w:type="dxa"/>
          <w:bottom w:w="0" w:type="dxa"/>
          <w:right w:w="0" w:type="dxa"/>
        </w:tblCellMar>
      </w:tblPr>
      <w:tblGrid>
        <w:gridCol w:w="541"/>
        <w:gridCol w:w="346"/>
        <w:gridCol w:w="211"/>
        <w:gridCol w:w="421"/>
        <w:gridCol w:w="346"/>
        <w:gridCol w:w="211"/>
        <w:gridCol w:w="571"/>
        <w:gridCol w:w="346"/>
        <w:gridCol w:w="211"/>
        <w:gridCol w:w="67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43535" cy="175260"/>
                      <wp:effectExtent l="0" t="0" r="0" b="0"/>
                      <wp:wrapNone/>
                      <wp:docPr id="163" name="Frame16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67335" cy="175260"/>
                      <wp:effectExtent l="0" t="0" r="0" b="0"/>
                      <wp:wrapNone/>
                      <wp:docPr id="166" name="Frame16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62585" cy="175260"/>
                      <wp:effectExtent l="0" t="0" r="0" b="0"/>
                      <wp:wrapNone/>
                      <wp:docPr id="169" name="Frame1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Non-U.S.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3,273</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Operations outside the U.S. that accounted for 10% or more of consolidated net sales during the six months ended June 30, 2026 and 2025 were in France (2026-12%, 2025-12%), Italy (2026-12%, 2025-13%), and Mexico (2026-14%, 2025-13%).</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bookmarkStart w:id="701" w:name="Tc_sQjoCmNsWUCRkXehfRubYw_9_8"/>
      <w:bookmarkStart w:id="702" w:name="Tc_2UruyLqs2kazt8svdt1Jhw_9_0"/>
      <w:bookmarkStart w:id="703" w:name="Tc_KOoClwrvT0myGIuS20e37Q_8_0"/>
      <w:bookmarkStart w:id="704" w:name="Tc_x-9hUNPqoEqF--_jVoKOjw_7_8"/>
      <w:bookmarkStart w:id="705" w:name="Tc_x_iry0XOH0G6Kzqa7RedDQ_7_5"/>
      <w:bookmarkStart w:id="706" w:name="Tc_AuhOjfc_skOxQ1mdPs_5Mw_7_2"/>
      <w:bookmarkStart w:id="707" w:name="Tc_JjUKDINH-UGyLh55_4HkKg_7_0"/>
      <w:bookmarkStart w:id="708" w:name="Tc_Y0CWSUubS0Khw7ZsFhsSGA_6_0"/>
      <w:bookmarkStart w:id="709" w:name="Tc_KLNAVBKfQ0C-i7tYopByLA_5_0"/>
      <w:bookmarkStart w:id="710" w:name="Tc_CEHJNYPrWEO4nHz0tJNqvA_4_8"/>
      <w:bookmarkStart w:id="711" w:name="Tc_Oc7sme2xAEGdk8leMeoYQw_4_5"/>
      <w:bookmarkStart w:id="712" w:name="Tc_ib99EliIKUm_92WsEcKuyA_4_2"/>
      <w:bookmarkStart w:id="713" w:name="Tc_84F7hPtUjEiY3jXBlIX0kA_4_0"/>
      <w:bookmarkStart w:id="714" w:name="Tc_LevzIBGOzUe3wyXrEwM7lg_2_8"/>
      <w:bookmarkStart w:id="715" w:name="Tc_OjP4YYcF4k6TDncdMqf1lA_2_5"/>
      <w:bookmarkStart w:id="716" w:name="Tc_ALWostTorkmL-eErCULIGw_2_2"/>
      <w:bookmarkStart w:id="717" w:name="Tc_G5NDvcArvECyzq-gEmIVng_1_2"/>
      <w:bookmarkStart w:id="718" w:name="_c690c2fd_f69a_4185_9f30_e6a886d8e46c"/>
      <w:bookmarkStart w:id="719" w:name="Tc_ZpaFBqgfEkilzZAzn4Hglg_9_8"/>
      <w:bookmarkStart w:id="720" w:name="Tc_dLN_6AaWLUS6dn1KGwix2g_9_0"/>
      <w:bookmarkStart w:id="721" w:name="Tc_knIPLq2q-Uuk8vEjHx1aKA_8_0"/>
      <w:bookmarkStart w:id="722" w:name="Tc_4RbOimzDYEaALn65xSfYkA_7_8"/>
      <w:bookmarkStart w:id="723" w:name="Tc_LG6T0a1oBkqfoaxz7a8m9Q_7_5"/>
      <w:bookmarkStart w:id="724" w:name="Tc_YvKgDkarI0W5aCAlVCTPiA_7_2"/>
      <w:bookmarkStart w:id="725" w:name="Tc_4lTLS9-JMUyvmxGk6O-dzw_7_0"/>
      <w:bookmarkStart w:id="726" w:name="Tc_XrXwuRBy8UWT0mNhkbuu0w_6_0"/>
      <w:bookmarkStart w:id="727" w:name="Tc_zfUcBwm4Fkq3VYOaaSc47Q_5_0"/>
      <w:bookmarkStart w:id="728" w:name="Tc_D_aX1cpqkUeu2ODYvyWN8w_4_8"/>
      <w:bookmarkStart w:id="729" w:name="Tc_Qf9XVJBZH0KHHscdlPNzRg_4_5"/>
      <w:bookmarkStart w:id="730" w:name="Tc_Fq7FrpewiESssElOly_tLw_4_2"/>
      <w:bookmarkStart w:id="731" w:name="Tc_9qjhYaoBzE-WKPtaJ3HQZg_4_0"/>
      <w:bookmarkStart w:id="732" w:name="Tc_xAoTG_UkcEus-LII3uwntQ_2_8"/>
      <w:bookmarkStart w:id="733" w:name="Tc_SyYQG1Aht0OLMIPccgqYzA_2_5"/>
      <w:bookmarkStart w:id="734" w:name="Tc_hQJdD8SRNUaWq-ySA8vkIA_2_2"/>
      <w:bookmarkStart w:id="735" w:name="Tc_qVuneOJPqUGrm78bU-bMzw_1_2"/>
      <w:bookmarkStart w:id="736" w:name="_4309351e_0a35_482d_850e_7517f507eb56"/>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r>
        <w:rPr>
          <w:rFonts w:ascii="Times New Roman;Times;serif" w:hAnsi="Times New Roman;Times;serif"/>
          <w:b/>
          <w:sz w:val="20"/>
        </w:rPr>
        <w:t>2.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is recognized at a point in time when obligations under the terms of the Company’s contracts and related purchase orders with its customers are satisfied. This occurs with the transfer of control of glass containers, which primarily takes place when products are shipped from the Company’s manufacturing or warehousing facilities to the customer. Revenue is measured as the amount of consideration the Company expects to receive in exchange for transferring goods, which includes estimated provisions for rebates, discounts, returns and allowances. Amounts billed to customers related to shipping and handling or other pass-through items are included in net sales in the Condensed Consolidated Results of Operations. Sales, value-added, and other taxes the Company collects concurrent with revenue-producing activities are excluded from revenue. The Company’s payment terms are based on customary business practices and can vary by customer type. The term between invoicing and when payment is due is not significant. Also, the Company elected to account for shipping and handling costs as a fulfillment cost at the time of shipment.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and six-month periods ended June 30, 2026 and 2025, the Company had no material bad debt expense, and there were no material contract assets, contract liabilities or deferred contract costs recorded in the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for the three months ended June 30, 2026 and 2025 disaggregate the Company’s revenue by customer end use:</w:t>
      </w:r>
    </w:p>
    <w:tbl>
      <w:tblPr>
        <w:tblW w:w="6465" w:type="dxa"/>
        <w:jc w:val="left"/>
        <w:tblInd w:w="0" w:type="dxa"/>
        <w:tblLayout w:type="fixed"/>
        <w:tblCellMar>
          <w:top w:w="0" w:type="dxa"/>
          <w:left w:w="0" w:type="dxa"/>
          <w:bottom w:w="0" w:type="dxa"/>
          <w:right w:w="0" w:type="dxa"/>
        </w:tblCellMar>
      </w:tblPr>
      <w:tblGrid>
        <w:gridCol w:w="3361"/>
        <w:gridCol w:w="346"/>
        <w:gridCol w:w="260"/>
        <w:gridCol w:w="521"/>
        <w:gridCol w:w="159"/>
        <w:gridCol w:w="230"/>
        <w:gridCol w:w="460"/>
        <w:gridCol w:w="159"/>
        <w:gridCol w:w="230"/>
        <w:gridCol w:w="739"/>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34235" cy="175895"/>
                      <wp:effectExtent l="0" t="0" r="0" b="0"/>
                      <wp:wrapNone/>
                      <wp:docPr id="173" name="Frame172"/>
                      <a:graphic xmlns:a="http://schemas.openxmlformats.org/drawingml/2006/main">
                        <a:graphicData uri="http://schemas.microsoft.com/office/word/2010/wordprocessingShape">
                          <wps:wsp>
                            <wps:cNvSpPr txBox="1"/>
                            <wps:spPr>
                              <a:xfrm>
                                <a:off x="0" y="0"/>
                                <a:ext cx="21342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895"/>
                      <wp:effectExtent l="0" t="0" r="0" b="0"/>
                      <wp:wrapNone/>
                      <wp:docPr id="174" name="Frame17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5100" cy="175895"/>
                      <wp:effectExtent l="0" t="0" r="0" b="0"/>
                      <wp:wrapNone/>
                      <wp:docPr id="175" name="Frame174"/>
                      <a:graphic xmlns:a="http://schemas.openxmlformats.org/drawingml/2006/main">
                        <a:graphicData uri="http://schemas.microsoft.com/office/word/2010/wordprocessingShape">
                          <wps:wsp>
                            <wps:cNvSpPr txBox="1"/>
                            <wps:spPr>
                              <a:xfrm>
                                <a:off x="0" y="0"/>
                                <a:ext cx="16510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30835" cy="175895"/>
                      <wp:effectExtent l="0" t="0" r="0" b="0"/>
                      <wp:wrapNone/>
                      <wp:docPr id="176" name="Frame175"/>
                      <a:graphic xmlns:a="http://schemas.openxmlformats.org/drawingml/2006/main">
                        <a:graphicData uri="http://schemas.microsoft.com/office/word/2010/wordprocessingShape">
                          <wps:wsp>
                            <wps:cNvSpPr txBox="1"/>
                            <wps:spPr>
                              <a:xfrm>
                                <a:off x="0" y="0"/>
                                <a:ext cx="3308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00965" cy="175895"/>
                      <wp:effectExtent l="0" t="0" r="0" b="0"/>
                      <wp:wrapNone/>
                      <wp:docPr id="177" name="Frame176"/>
                      <a:graphic xmlns:a="http://schemas.openxmlformats.org/drawingml/2006/main">
                        <a:graphicData uri="http://schemas.microsoft.com/office/word/2010/wordprocessingShape">
                          <wps:wsp>
                            <wps:cNvSpPr txBox="1"/>
                            <wps:spPr>
                              <a:xfrm>
                                <a:off x="0" y="0"/>
                                <a:ext cx="10096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46050" cy="175895"/>
                      <wp:effectExtent l="0" t="0" r="0" b="0"/>
                      <wp:wrapNone/>
                      <wp:docPr id="178" name="Frame177"/>
                      <a:graphic xmlns:a="http://schemas.openxmlformats.org/drawingml/2006/main">
                        <a:graphicData uri="http://schemas.microsoft.com/office/word/2010/wordprocessingShape">
                          <wps:wsp>
                            <wps:cNvSpPr txBox="1"/>
                            <wps:spPr>
                              <a:xfrm>
                                <a:off x="0" y="0"/>
                                <a:ext cx="14605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92100" cy="175895"/>
                      <wp:effectExtent l="0" t="0" r="0" b="0"/>
                      <wp:wrapNone/>
                      <wp:docPr id="179" name="Frame178"/>
                      <a:graphic xmlns:a="http://schemas.openxmlformats.org/drawingml/2006/main">
                        <a:graphicData uri="http://schemas.microsoft.com/office/word/2010/wordprocessingShape">
                          <wps:wsp>
                            <wps:cNvSpPr txBox="1"/>
                            <wps:spPr>
                              <a:xfrm>
                                <a:off x="0" y="0"/>
                                <a:ext cx="29210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00965" cy="175895"/>
                      <wp:effectExtent l="0" t="0" r="0" b="0"/>
                      <wp:wrapNone/>
                      <wp:docPr id="180" name="Frame179"/>
                      <a:graphic xmlns:a="http://schemas.openxmlformats.org/drawingml/2006/main">
                        <a:graphicData uri="http://schemas.microsoft.com/office/word/2010/wordprocessingShape">
                          <wps:wsp>
                            <wps:cNvSpPr txBox="1"/>
                            <wps:spPr>
                              <a:xfrm>
                                <a:off x="0" y="0"/>
                                <a:ext cx="10096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6050" cy="175895"/>
                      <wp:effectExtent l="0" t="0" r="0" b="0"/>
                      <wp:wrapNone/>
                      <wp:docPr id="181" name="Frame180"/>
                      <a:graphic xmlns:a="http://schemas.openxmlformats.org/drawingml/2006/main">
                        <a:graphicData uri="http://schemas.microsoft.com/office/word/2010/wordprocessingShape">
                          <wps:wsp>
                            <wps:cNvSpPr txBox="1"/>
                            <wps:spPr>
                              <a:xfrm>
                                <a:off x="0" y="0"/>
                                <a:ext cx="14605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69265" cy="175895"/>
                      <wp:effectExtent l="0" t="0" r="0" b="0"/>
                      <wp:wrapNone/>
                      <wp:docPr id="182" name="Frame181"/>
                      <a:graphic xmlns:a="http://schemas.openxmlformats.org/drawingml/2006/main">
                        <a:graphicData uri="http://schemas.microsoft.com/office/word/2010/wordprocessingShape">
                          <wps:wsp>
                            <wps:cNvSpPr txBox="1"/>
                            <wps:spPr>
                              <a:xfrm>
                                <a:off x="0" y="0"/>
                                <a:ext cx="46926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758" w:type="dxa"/>
            <w:gridSpan w:val="8"/>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159" w:type="dxa"/>
            <w:tcBorders/>
            <w:vAlign w:val="center"/>
          </w:tcPr>
          <w:p>
            <w:pPr>
              <w:pStyle w:val="TableContents"/>
              <w:bidi w:val="0"/>
              <w:spacing w:before="1" w:after="0"/>
              <w:ind w:left="0" w:right="0" w:hanging="0"/>
              <w:jc w:val="left"/>
              <w:rPr/>
            </w:pPr>
            <w:r>
              <w:rPr/>
              <w:t>​</w:t>
            </w:r>
          </w:p>
        </w:tc>
        <w:tc>
          <w:tcPr>
            <w:tcW w:w="690"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159" w:type="dxa"/>
            <w:tcBorders/>
            <w:vAlign w:val="center"/>
          </w:tcPr>
          <w:p>
            <w:pPr>
              <w:pStyle w:val="TableContents"/>
              <w:bidi w:val="0"/>
              <w:spacing w:before="1" w:after="0"/>
              <w:ind w:left="0" w:right="0" w:hanging="0"/>
              <w:jc w:val="left"/>
              <w:rPr/>
            </w:pPr>
            <w:r>
              <w:rPr/>
              <w:t>​</w:t>
            </w:r>
          </w:p>
        </w:tc>
        <w:tc>
          <w:tcPr>
            <w:tcW w:w="969"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60" w:type="dxa"/>
            <w:tcBorders/>
            <w:vAlign w:val="center"/>
          </w:tcPr>
          <w:p>
            <w:pPr>
              <w:pStyle w:val="TableContents"/>
              <w:bidi w:val="0"/>
              <w:spacing w:before="1" w:after="0"/>
              <w:ind w:left="0" w:right="0" w:hanging="0"/>
              <w:jc w:val="left"/>
              <w:rPr/>
            </w:pPr>
            <w:r>
              <w:rPr/>
              <w:t>​</w:t>
            </w:r>
          </w:p>
        </w:tc>
        <w:tc>
          <w:tcPr>
            <w:tcW w:w="521" w:type="dxa"/>
            <w:tcBorders/>
            <w:vAlign w:val="center"/>
          </w:tcPr>
          <w:p>
            <w:pPr>
              <w:pStyle w:val="TableContents"/>
              <w:bidi w:val="0"/>
              <w:spacing w:before="1" w:after="0"/>
              <w:ind w:left="0" w:right="0" w:hanging="0"/>
              <w:jc w:val="left"/>
              <w:rPr/>
            </w:pPr>
            <w:r>
              <w:rPr/>
              <w:t>​</w:t>
            </w:r>
          </w:p>
        </w:tc>
        <w:tc>
          <w:tcPr>
            <w:tcW w:w="159" w:type="dxa"/>
            <w:tcBorders/>
            <w:vAlign w:val="center"/>
          </w:tcPr>
          <w:p>
            <w:pPr>
              <w:pStyle w:val="TableContents"/>
              <w:bidi w:val="0"/>
              <w:spacing w:before="1" w:after="0"/>
              <w:ind w:left="0" w:right="0" w:hanging="0"/>
              <w:jc w:val="left"/>
              <w:rPr/>
            </w:pPr>
            <w:r>
              <w:rPr/>
              <w:t>​</w:t>
            </w:r>
          </w:p>
        </w:tc>
        <w:tc>
          <w:tcPr>
            <w:tcW w:w="230" w:type="dxa"/>
            <w:tcBorders/>
            <w:vAlign w:val="center"/>
          </w:tcPr>
          <w:p>
            <w:pPr>
              <w:pStyle w:val="TableContents"/>
              <w:bidi w:val="0"/>
              <w:spacing w:before="1" w:after="0"/>
              <w:ind w:left="0" w:right="0" w:hanging="0"/>
              <w:jc w:val="left"/>
              <w:rPr/>
            </w:pPr>
            <w:r>
              <w:rPr/>
              <w:t>​</w:t>
            </w:r>
          </w:p>
        </w:tc>
        <w:tc>
          <w:tcPr>
            <w:tcW w:w="460" w:type="dxa"/>
            <w:tcBorders/>
            <w:vAlign w:val="center"/>
          </w:tcPr>
          <w:p>
            <w:pPr>
              <w:pStyle w:val="TableContents"/>
              <w:bidi w:val="0"/>
              <w:spacing w:before="1" w:after="0"/>
              <w:ind w:left="0" w:right="0" w:hanging="0"/>
              <w:jc w:val="left"/>
              <w:rPr/>
            </w:pPr>
            <w:r>
              <w:rPr/>
              <w:t>​</w:t>
            </w:r>
          </w:p>
        </w:tc>
        <w:tc>
          <w:tcPr>
            <w:tcW w:w="159" w:type="dxa"/>
            <w:tcBorders/>
            <w:vAlign w:val="center"/>
          </w:tcPr>
          <w:p>
            <w:pPr>
              <w:pStyle w:val="TableContents"/>
              <w:bidi w:val="0"/>
              <w:spacing w:before="1" w:after="0"/>
              <w:ind w:left="0" w:right="0" w:hanging="0"/>
              <w:jc w:val="left"/>
              <w:rPr/>
            </w:pPr>
            <w:r>
              <w:rPr/>
              <w:t>​</w:t>
            </w:r>
          </w:p>
        </w:tc>
        <w:tc>
          <w:tcPr>
            <w:tcW w:w="230" w:type="dxa"/>
            <w:tcBorders/>
            <w:vAlign w:val="center"/>
          </w:tcPr>
          <w:p>
            <w:pPr>
              <w:pStyle w:val="TableContents"/>
              <w:bidi w:val="0"/>
              <w:spacing w:before="1" w:after="0"/>
              <w:ind w:left="0" w:right="0" w:hanging="0"/>
              <w:jc w:val="left"/>
              <w:rPr/>
            </w:pPr>
            <w:r>
              <w:rPr/>
              <w:t>​</w:t>
            </w:r>
          </w:p>
        </w:tc>
        <w:tc>
          <w:tcPr>
            <w:tcW w:w="739" w:type="dxa"/>
            <w:tcBorders/>
            <w:vAlign w:val="center"/>
          </w:tcPr>
          <w:p>
            <w:pPr>
              <w:pStyle w:val="TableContents"/>
              <w:bidi w:val="0"/>
              <w:spacing w:before="1" w:after="0"/>
              <w:ind w:left="0" w:right="0" w:hanging="0"/>
              <w:jc w:val="left"/>
              <w:rPr/>
            </w:pPr>
            <w:r>
              <w:rPr/>
              <w:t>​</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Alcoholic beverages (beer, wine, spirits)</w:t>
            </w:r>
          </w:p>
        </w:tc>
        <w:tc>
          <w:tcPr>
            <w:tcW w:w="346" w:type="dxa"/>
            <w:tcBorders/>
            <w:shd w:fill="CCEEFF" w:val="clear"/>
            <w:vAlign w:val="center"/>
          </w:tcPr>
          <w:p>
            <w:pPr>
              <w:pStyle w:val="TableContents"/>
              <w:bidi w:val="0"/>
              <w:spacing w:before="1" w:after="0"/>
              <w:ind w:left="0" w:right="0" w:hanging="0"/>
              <w:jc w:val="left"/>
              <w:rPr/>
            </w:pPr>
            <w:r>
              <w:rPr/>
              <w:t> </w:t>
            </w:r>
          </w:p>
        </w:tc>
        <w:tc>
          <w:tcPr>
            <w:tcW w:w="260"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159" w:type="dxa"/>
            <w:tcBorders/>
            <w:shd w:fill="CCEEFF" w:val="clear"/>
            <w:vAlign w:val="center"/>
          </w:tcPr>
          <w:p>
            <w:pPr>
              <w:pStyle w:val="TableContents"/>
              <w:bidi w:val="0"/>
              <w:spacing w:before="1" w:after="0"/>
              <w:ind w:left="0" w:right="0" w:hanging="0"/>
              <w:jc w:val="left"/>
              <w:rPr/>
            </w:pPr>
            <w:r>
              <w:rPr/>
              <w:t> </w:t>
            </w:r>
          </w:p>
        </w:tc>
        <w:tc>
          <w:tcPr>
            <w:tcW w:w="230"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159" w:type="dxa"/>
            <w:tcBorders/>
            <w:shd w:fill="CCEEFF" w:val="clear"/>
            <w:vAlign w:val="center"/>
          </w:tcPr>
          <w:p>
            <w:pPr>
              <w:pStyle w:val="TableContents"/>
              <w:bidi w:val="0"/>
              <w:spacing w:before="1" w:after="0"/>
              <w:ind w:left="0" w:right="0" w:hanging="0"/>
              <w:jc w:val="left"/>
              <w:rPr/>
            </w:pPr>
            <w:r>
              <w:rPr/>
              <w:t> </w:t>
            </w:r>
          </w:p>
        </w:tc>
        <w:tc>
          <w:tcPr>
            <w:tcW w:w="230"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Food and other</w:t>
            </w:r>
          </w:p>
        </w:tc>
        <w:tc>
          <w:tcPr>
            <w:tcW w:w="346" w:type="dxa"/>
            <w:tcBorders/>
            <w:vAlign w:val="center"/>
          </w:tcPr>
          <w:p>
            <w:pPr>
              <w:pStyle w:val="TableContents"/>
              <w:bidi w:val="0"/>
              <w:spacing w:before="1" w:after="0"/>
              <w:ind w:left="0" w:right="0" w:hanging="0"/>
              <w:jc w:val="left"/>
              <w:rPr/>
            </w:pPr>
            <w:r>
              <w:rPr/>
              <w:t>​</w:t>
            </w:r>
          </w:p>
        </w:tc>
        <w:tc>
          <w:tcPr>
            <w:tcW w:w="260" w:type="dxa"/>
            <w:tcBorders/>
            <w:vAlign w:val="center"/>
          </w:tcPr>
          <w:p>
            <w:pPr>
              <w:pStyle w:val="TableContents"/>
              <w:bidi w:val="0"/>
              <w:spacing w:before="1" w:after="0"/>
              <w:ind w:left="0" w:right="0" w:hanging="0"/>
              <w:jc w:val="left"/>
              <w:rPr/>
            </w:pPr>
            <w:r>
              <w:rPr/>
              <w:t> </w:t>
            </w:r>
          </w:p>
        </w:tc>
        <w:tc>
          <w:tcPr>
            <w:tcW w:w="52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159" w:type="dxa"/>
            <w:tcBorders/>
            <w:vAlign w:val="center"/>
          </w:tcPr>
          <w:p>
            <w:pPr>
              <w:pStyle w:val="TableContents"/>
              <w:bidi w:val="0"/>
              <w:spacing w:before="1" w:after="0"/>
              <w:ind w:left="0" w:right="0" w:hanging="0"/>
              <w:jc w:val="left"/>
              <w:rPr/>
            </w:pPr>
            <w:r>
              <w:rPr/>
              <w:t>​</w:t>
            </w:r>
          </w:p>
        </w:tc>
        <w:tc>
          <w:tcPr>
            <w:tcW w:w="230" w:type="dxa"/>
            <w:tcBorders/>
            <w:vAlign w:val="center"/>
          </w:tcPr>
          <w:p>
            <w:pPr>
              <w:pStyle w:val="TableContents"/>
              <w:bidi w:val="0"/>
              <w:spacing w:before="1" w:after="0"/>
              <w:ind w:left="0" w:right="0" w:hanging="0"/>
              <w:jc w:val="left"/>
              <w:rPr/>
            </w:pPr>
            <w:r>
              <w:rPr/>
              <w:t>​</w:t>
            </w:r>
          </w:p>
        </w:tc>
        <w:tc>
          <w:tcPr>
            <w:tcW w:w="460"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59" w:type="dxa"/>
            <w:tcBorders/>
            <w:vAlign w:val="center"/>
          </w:tcPr>
          <w:p>
            <w:pPr>
              <w:pStyle w:val="TableContents"/>
              <w:bidi w:val="0"/>
              <w:spacing w:before="1" w:after="0"/>
              <w:ind w:left="0" w:right="0" w:hanging="0"/>
              <w:jc w:val="left"/>
              <w:rPr/>
            </w:pPr>
            <w:r>
              <w:rPr/>
              <w:t>​</w:t>
            </w:r>
          </w:p>
        </w:tc>
        <w:tc>
          <w:tcPr>
            <w:tcW w:w="230" w:type="dxa"/>
            <w:tcBorders/>
            <w:vAlign w:val="center"/>
          </w:tcPr>
          <w:p>
            <w:pPr>
              <w:pStyle w:val="TableContents"/>
              <w:bidi w:val="0"/>
              <w:spacing w:before="1" w:after="0"/>
              <w:ind w:left="0" w:right="0" w:hanging="0"/>
              <w:jc w:val="left"/>
              <w:rPr/>
            </w:pPr>
            <w:r>
              <w:rPr/>
              <w:t> </w:t>
            </w:r>
          </w:p>
        </w:tc>
        <w:tc>
          <w:tcPr>
            <w:tcW w:w="73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Non-alcoholic beverages</w:t>
            </w:r>
          </w:p>
        </w:tc>
        <w:tc>
          <w:tcPr>
            <w:tcW w:w="346" w:type="dxa"/>
            <w:tcBorders/>
            <w:shd w:fill="CCEEFF" w:val="clear"/>
            <w:vAlign w:val="center"/>
          </w:tcPr>
          <w:p>
            <w:pPr>
              <w:pStyle w:val="TableContents"/>
              <w:bidi w:val="0"/>
              <w:spacing w:before="1"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159" w:type="dxa"/>
            <w:tcBorders/>
            <w:shd w:fill="CCEEFF" w:val="clear"/>
            <w:vAlign w:val="center"/>
          </w:tcPr>
          <w:p>
            <w:pPr>
              <w:pStyle w:val="TableContents"/>
              <w:bidi w:val="0"/>
              <w:spacing w:before="1"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59" w:type="dxa"/>
            <w:tcBorders/>
            <w:shd w:fill="CCEEFF" w:val="clear"/>
            <w:vAlign w:val="center"/>
          </w:tcPr>
          <w:p>
            <w:pPr>
              <w:pStyle w:val="TableContents"/>
              <w:bidi w:val="0"/>
              <w:spacing w:before="1"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Reportable segment totals</w:t>
            </w:r>
          </w:p>
        </w:tc>
        <w:tc>
          <w:tcPr>
            <w:tcW w:w="346" w:type="dxa"/>
            <w:tcBorders/>
            <w:vAlign w:val="center"/>
          </w:tcPr>
          <w:p>
            <w:pPr>
              <w:pStyle w:val="TableContents"/>
              <w:bidi w:val="0"/>
              <w:spacing w:before="1"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159" w:type="dxa"/>
            <w:tcBorders/>
            <w:vAlign w:val="center"/>
          </w:tcPr>
          <w:p>
            <w:pPr>
              <w:pStyle w:val="TableContents"/>
              <w:bidi w:val="0"/>
              <w:spacing w:before="1"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159" w:type="dxa"/>
            <w:tcBorders/>
            <w:vAlign w:val="center"/>
          </w:tcPr>
          <w:p>
            <w:pPr>
              <w:pStyle w:val="TableContents"/>
              <w:bidi w:val="0"/>
              <w:spacing w:before="1"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1,653</w:t>
            </w:r>
          </w:p>
        </w:tc>
      </w:tr>
      <w:tr>
        <w:trPr/>
        <w:tc>
          <w:tcPr>
            <w:tcW w:w="33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1" w:after="0"/>
              <w:ind w:left="0" w:right="0" w:hanging="0"/>
              <w:jc w:val="left"/>
              <w:rPr/>
            </w:pPr>
            <w:r>
              <w:rPr/>
              <w:t>​</w:t>
            </w:r>
          </w:p>
        </w:tc>
        <w:tc>
          <w:tcPr>
            <w:tcW w:w="260" w:type="dxa"/>
            <w:tcBorders/>
            <w:shd w:fill="CCEEFF" w:val="clear"/>
            <w:vAlign w:val="center"/>
          </w:tcPr>
          <w:p>
            <w:pPr>
              <w:pStyle w:val="TableContents"/>
              <w:bidi w:val="0"/>
              <w:spacing w:before="1" w:after="0"/>
              <w:ind w:left="0" w:right="0" w:hanging="0"/>
              <w:jc w:val="left"/>
              <w:rPr/>
            </w:pPr>
            <w:r>
              <w:rPr/>
              <w:t> </w:t>
            </w:r>
          </w:p>
        </w:tc>
        <w:tc>
          <w:tcPr>
            <w:tcW w:w="521" w:type="dxa"/>
            <w:tcBorders/>
            <w:shd w:fill="CCEEFF" w:val="clear"/>
            <w:vAlign w:val="center"/>
          </w:tcPr>
          <w:p>
            <w:pPr>
              <w:pStyle w:val="TableContents"/>
              <w:bidi w:val="0"/>
              <w:spacing w:before="1" w:after="0"/>
              <w:ind w:left="0" w:right="0" w:hanging="0"/>
              <w:jc w:val="left"/>
              <w:rPr/>
            </w:pPr>
            <w:r>
              <w:rPr/>
              <w:t>​</w:t>
            </w:r>
          </w:p>
        </w:tc>
        <w:tc>
          <w:tcPr>
            <w:tcW w:w="159" w:type="dxa"/>
            <w:tcBorders/>
            <w:shd w:fill="CCEEFF" w:val="clear"/>
            <w:vAlign w:val="center"/>
          </w:tcPr>
          <w:p>
            <w:pPr>
              <w:pStyle w:val="TableContents"/>
              <w:bidi w:val="0"/>
              <w:spacing w:before="1" w:after="0"/>
              <w:ind w:left="0" w:right="0" w:hanging="0"/>
              <w:jc w:val="left"/>
              <w:rPr/>
            </w:pPr>
            <w:r>
              <w:rPr/>
              <w:t>​</w:t>
            </w:r>
          </w:p>
        </w:tc>
        <w:tc>
          <w:tcPr>
            <w:tcW w:w="230" w:type="dxa"/>
            <w:tcBorders/>
            <w:shd w:fill="CCEEFF" w:val="clear"/>
            <w:vAlign w:val="center"/>
          </w:tcPr>
          <w:p>
            <w:pPr>
              <w:pStyle w:val="TableContents"/>
              <w:bidi w:val="0"/>
              <w:spacing w:before="1" w:after="0"/>
              <w:ind w:left="0" w:right="0" w:hanging="0"/>
              <w:jc w:val="left"/>
              <w:rPr/>
            </w:pPr>
            <w:r>
              <w:rPr/>
              <w:t>​</w:t>
            </w:r>
          </w:p>
        </w:tc>
        <w:tc>
          <w:tcPr>
            <w:tcW w:w="460" w:type="dxa"/>
            <w:tcBorders/>
            <w:shd w:fill="CCEEFF" w:val="clear"/>
            <w:vAlign w:val="center"/>
          </w:tcPr>
          <w:p>
            <w:pPr>
              <w:pStyle w:val="TableContents"/>
              <w:bidi w:val="0"/>
              <w:spacing w:before="1" w:after="0"/>
              <w:ind w:left="0" w:right="0" w:hanging="0"/>
              <w:jc w:val="left"/>
              <w:rPr/>
            </w:pPr>
            <w:r>
              <w:rPr/>
              <w:t>​</w:t>
            </w:r>
          </w:p>
        </w:tc>
        <w:tc>
          <w:tcPr>
            <w:tcW w:w="159" w:type="dxa"/>
            <w:tcBorders/>
            <w:shd w:fill="CCEEFF" w:val="clear"/>
            <w:vAlign w:val="center"/>
          </w:tcPr>
          <w:p>
            <w:pPr>
              <w:pStyle w:val="TableContents"/>
              <w:bidi w:val="0"/>
              <w:spacing w:before="1"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3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1" w:after="0"/>
              <w:ind w:left="0" w:right="0" w:hanging="0"/>
              <w:jc w:val="left"/>
              <w:rPr/>
            </w:pPr>
            <w:r>
              <w:rPr/>
              <w:t> </w:t>
            </w:r>
          </w:p>
        </w:tc>
        <w:tc>
          <w:tcPr>
            <w:tcW w:w="260" w:type="dxa"/>
            <w:tcBorders/>
            <w:vAlign w:val="center"/>
          </w:tcPr>
          <w:p>
            <w:pPr>
              <w:pStyle w:val="TableContents"/>
              <w:bidi w:val="0"/>
              <w:spacing w:before="1" w:after="0"/>
              <w:ind w:left="0" w:right="0" w:hanging="0"/>
              <w:jc w:val="left"/>
              <w:rPr/>
            </w:pPr>
            <w:r>
              <w:rPr/>
              <w:t>​</w:t>
            </w:r>
          </w:p>
        </w:tc>
        <w:tc>
          <w:tcPr>
            <w:tcW w:w="521" w:type="dxa"/>
            <w:tcBorders/>
            <w:vAlign w:val="center"/>
          </w:tcPr>
          <w:p>
            <w:pPr>
              <w:pStyle w:val="TableContents"/>
              <w:bidi w:val="0"/>
              <w:spacing w:before="1" w:after="0"/>
              <w:ind w:left="0" w:right="0" w:hanging="0"/>
              <w:jc w:val="left"/>
              <w:rPr/>
            </w:pPr>
            <w:r>
              <w:rPr/>
              <w:t>​</w:t>
            </w:r>
          </w:p>
        </w:tc>
        <w:tc>
          <w:tcPr>
            <w:tcW w:w="159" w:type="dxa"/>
            <w:tcBorders/>
            <w:vAlign w:val="center"/>
          </w:tcPr>
          <w:p>
            <w:pPr>
              <w:pStyle w:val="TableContents"/>
              <w:bidi w:val="0"/>
              <w:spacing w:before="1" w:after="0"/>
              <w:ind w:left="0" w:right="0" w:hanging="0"/>
              <w:jc w:val="left"/>
              <w:rPr/>
            </w:pPr>
            <w:r>
              <w:rPr/>
              <w:t>​</w:t>
            </w:r>
          </w:p>
        </w:tc>
        <w:tc>
          <w:tcPr>
            <w:tcW w:w="230" w:type="dxa"/>
            <w:tcBorders/>
            <w:vAlign w:val="center"/>
          </w:tcPr>
          <w:p>
            <w:pPr>
              <w:pStyle w:val="TableContents"/>
              <w:bidi w:val="0"/>
              <w:spacing w:before="1" w:after="0"/>
              <w:ind w:left="0" w:right="0" w:hanging="0"/>
              <w:jc w:val="left"/>
              <w:rPr/>
            </w:pPr>
            <w:r>
              <w:rPr/>
              <w:t>​</w:t>
            </w:r>
          </w:p>
        </w:tc>
        <w:tc>
          <w:tcPr>
            <w:tcW w:w="460" w:type="dxa"/>
            <w:tcBorders/>
            <w:vAlign w:val="center"/>
          </w:tcPr>
          <w:p>
            <w:pPr>
              <w:pStyle w:val="TableContents"/>
              <w:bidi w:val="0"/>
              <w:spacing w:before="1" w:after="0"/>
              <w:ind w:left="0" w:right="0" w:hanging="0"/>
              <w:jc w:val="left"/>
              <w:rPr/>
            </w:pPr>
            <w:r>
              <w:rPr/>
              <w:t>​</w:t>
            </w:r>
          </w:p>
        </w:tc>
        <w:tc>
          <w:tcPr>
            <w:tcW w:w="159" w:type="dxa"/>
            <w:tcBorders/>
            <w:vAlign w:val="center"/>
          </w:tcPr>
          <w:p>
            <w:pPr>
              <w:pStyle w:val="TableContents"/>
              <w:bidi w:val="0"/>
              <w:spacing w:before="1"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tcMar>
              <w:bottom w:w="28" w:type="dxa"/>
            </w:tcMar>
            <w:vAlign w:val="center"/>
          </w:tcPr>
          <w:p>
            <w:pPr>
              <w:pStyle w:val="TableContents"/>
              <w:bidi w:val="0"/>
              <w:spacing w:before="1" w:after="0"/>
              <w:ind w:left="0" w:right="60" w:hanging="0"/>
              <w:jc w:val="right"/>
              <w:rPr>
                <w:rFonts w:ascii="Times New Roman;Times;serif" w:hAnsi="Times New Roman;Times;serif"/>
                <w:sz w:val="20"/>
              </w:rPr>
            </w:pPr>
            <w:r>
              <w:rPr>
                <w:rFonts w:ascii="Times New Roman;Times;serif" w:hAnsi="Times New Roman;Times;serif"/>
                <w:sz w:val="20"/>
              </w:rPr>
              <w:t>1,668</w:t>
            </w:r>
          </w:p>
        </w:tc>
      </w:tr>
    </w:tbl>
    <w:p>
      <w:pPr>
        <w:pStyle w:val="TextBody"/>
        <w:bidi w:val="0"/>
        <w:spacing w:before="0" w:after="0"/>
        <w:ind w:left="0" w:right="0" w:hanging="0"/>
        <w:jc w:val="left"/>
        <w:rPr/>
      </w:pPr>
      <w:r>
        <w:rPr/>
        <w:t>​</w:t>
      </w:r>
    </w:p>
    <w:tbl>
      <w:tblPr>
        <w:tblW w:w="6442" w:type="dxa"/>
        <w:jc w:val="left"/>
        <w:tblInd w:w="0" w:type="dxa"/>
        <w:tblLayout w:type="fixed"/>
        <w:tblCellMar>
          <w:top w:w="0" w:type="dxa"/>
          <w:left w:w="0" w:type="dxa"/>
          <w:bottom w:w="0" w:type="dxa"/>
          <w:right w:w="0" w:type="dxa"/>
        </w:tblCellMar>
      </w:tblPr>
      <w:tblGrid>
        <w:gridCol w:w="3361"/>
        <w:gridCol w:w="346"/>
        <w:gridCol w:w="260"/>
        <w:gridCol w:w="521"/>
        <w:gridCol w:w="122"/>
        <w:gridCol w:w="237"/>
        <w:gridCol w:w="474"/>
        <w:gridCol w:w="122"/>
        <w:gridCol w:w="237"/>
        <w:gridCol w:w="762"/>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34235" cy="175260"/>
                      <wp:effectExtent l="0" t="0" r="0" b="0"/>
                      <wp:wrapNone/>
                      <wp:docPr id="183" name="Frame182"/>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5100" cy="175260"/>
                      <wp:effectExtent l="0" t="0" r="0" b="0"/>
                      <wp:wrapNone/>
                      <wp:docPr id="185" name="Frame18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30835" cy="175260"/>
                      <wp:effectExtent l="0" t="0" r="0" b="0"/>
                      <wp:wrapNone/>
                      <wp:docPr id="186" name="Frame185"/>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7470" cy="175260"/>
                      <wp:effectExtent l="0" t="0" r="0" b="0"/>
                      <wp:wrapNone/>
                      <wp:docPr id="187" name="Frame186"/>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50495" cy="175260"/>
                      <wp:effectExtent l="0" t="0" r="0" b="0"/>
                      <wp:wrapNone/>
                      <wp:docPr id="188" name="Frame18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00990" cy="175260"/>
                      <wp:effectExtent l="0" t="0" r="0" b="0"/>
                      <wp:wrapNone/>
                      <wp:docPr id="189" name="Frame188"/>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7470" cy="175260"/>
                      <wp:effectExtent l="0" t="0" r="0" b="0"/>
                      <wp:wrapNone/>
                      <wp:docPr id="190" name="Frame189"/>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0495" cy="175260"/>
                      <wp:effectExtent l="0" t="0" r="0" b="0"/>
                      <wp:wrapNone/>
                      <wp:docPr id="191" name="Frame19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83870" cy="175260"/>
                      <wp:effectExtent l="0" t="0" r="0" b="0"/>
                      <wp:wrapNone/>
                      <wp:docPr id="192" name="Frame191"/>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122" w:type="dxa"/>
            <w:tcBorders/>
            <w:vAlign w:val="center"/>
          </w:tcPr>
          <w:p>
            <w:pPr>
              <w:pStyle w:val="TableContents"/>
              <w:bidi w:val="0"/>
              <w:spacing w:before="0" w:after="0"/>
              <w:ind w:left="0" w:right="0" w:hanging="0"/>
              <w:jc w:val="left"/>
              <w:rPr/>
            </w:pPr>
            <w:r>
              <w:rPr/>
              <w:t>​</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122" w:type="dxa"/>
            <w:tcBorders/>
            <w:vAlign w:val="center"/>
          </w:tcPr>
          <w:p>
            <w:pPr>
              <w:pStyle w:val="TableContents"/>
              <w:bidi w:val="0"/>
              <w:spacing w:before="0" w:after="0"/>
              <w:ind w:left="0" w:right="0" w:hanging="0"/>
              <w:jc w:val="left"/>
              <w:rPr/>
            </w:pPr>
            <w:r>
              <w:rPr/>
              <w:t>​</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Alcoholic beverages (beer, wine, spirits)</w:t>
            </w:r>
          </w:p>
        </w:tc>
        <w:tc>
          <w:tcPr>
            <w:tcW w:w="34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122"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122"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other</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122"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122"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Non-alcoholic beverages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22"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22"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totals</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122"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122"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521" w:type="dxa"/>
            <w:tcBorders/>
            <w:shd w:fill="CCEEFF" w:val="clear"/>
            <w:vAlign w:val="center"/>
          </w:tcPr>
          <w:p>
            <w:pPr>
              <w:pStyle w:val="TableContents"/>
              <w:bidi w:val="0"/>
              <w:spacing w:before="0" w:after="0"/>
              <w:ind w:left="0" w:right="0" w:hanging="0"/>
              <w:jc w:val="lef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firstLine="360"/>
        <w:jc w:val="left"/>
        <w:rPr>
          <w:rFonts w:ascii="Times New Roman;Times;serif" w:hAnsi="Times New Roman;Times;serif"/>
          <w:sz w:val="20"/>
        </w:rPr>
      </w:pPr>
      <w:bookmarkStart w:id="737" w:name="Tc_v3U_OSyO1UOSMqCYDbsHZA_20_8"/>
      <w:bookmarkStart w:id="738" w:name="Tc_4mU72xKvb0edTqSLvrsV2Q_20_0"/>
      <w:bookmarkStart w:id="739" w:name="Tc_5690vtuOUkGwh46jzccJxg_19_0"/>
      <w:bookmarkStart w:id="740" w:name="Tc_288elkkHZ0uuLIwvq6h6Gw_18_8"/>
      <w:bookmarkStart w:id="741" w:name="Tc_7MMyJ0kV9kOZ-DebCQFPxQ_18_5"/>
      <w:bookmarkStart w:id="742" w:name="Tc_AQy6SzThakKJ5ztv9QdTLw_18_2"/>
      <w:bookmarkStart w:id="743" w:name="Tc_q9T_9AS5GU-bcfDT_1ioiQ_18_0"/>
      <w:bookmarkStart w:id="744" w:name="Tc_QgNU6zHNBUCTuKiQewfbuQ_17_0"/>
      <w:bookmarkStart w:id="745" w:name="Tc_gprkFifoP0uvFitvEmjhhQ_16_0"/>
      <w:bookmarkStart w:id="746" w:name="Tc_qbrnW_0uKUmx4Oo-GOGeBQ_15_8"/>
      <w:bookmarkStart w:id="747" w:name="Tc_r1Yy6Hs1L0mVCm9bafqS7w_15_5"/>
      <w:bookmarkStart w:id="748" w:name="Tc_mnRZVMUG0UuWKfvRstV6lA_15_2"/>
      <w:bookmarkStart w:id="749" w:name="Tc_p7HSlSu6IECbsubuqaCZsQ_15_0"/>
      <w:bookmarkStart w:id="750" w:name="Tc_sQH0hL-VOEi7KL_kUNmheA_13_8"/>
      <w:bookmarkStart w:id="751" w:name="Tc_ld-NO0ezUUCqv-CMZD5Zvw_13_5"/>
      <w:bookmarkStart w:id="752" w:name="Tc_A1132_miqE2RmtFqcm3qDA_13_2"/>
      <w:bookmarkStart w:id="753" w:name="Tc_BQIuZx700EqCgRQ7tYkBKg_12_2"/>
      <w:bookmarkStart w:id="754" w:name="Tc_R2FqSRpCekaOLtuuxzrKzA_9_8"/>
      <w:bookmarkStart w:id="755" w:name="Tc_tgUJSt1CP0eezytbYDhFgA_9_0"/>
      <w:bookmarkStart w:id="756" w:name="Tc_W-Mjf5_WyU2JFrC9VEcFNA_8_0"/>
      <w:bookmarkStart w:id="757" w:name="Tc_0y1cDvdKsUWgwrvQhkC2fg_7_8"/>
      <w:bookmarkStart w:id="758" w:name="Tc_1VvF_tM9TU-R4xWsWDLz7g_7_5"/>
      <w:bookmarkStart w:id="759" w:name="Tc_ij1z-5TptESIqeHtgUBO8Q_7_2"/>
      <w:bookmarkStart w:id="760" w:name="Tc_-Hx8Zgs9e0KcygezBT3Sxw_7_0"/>
      <w:bookmarkStart w:id="761" w:name="Tc_e26YdkZ-Ikynfg0HUScQJA_6_0"/>
      <w:bookmarkStart w:id="762" w:name="Tc_uWeTSuBVVkigJj-NUVXcmw_5_0"/>
      <w:bookmarkStart w:id="763" w:name="Tc_-WASwODUm0u5ImQWLQF7cg_4_8"/>
      <w:bookmarkStart w:id="764" w:name="Tc_wlHtBurhKUmdUAVQXhMv7g_4_5"/>
      <w:bookmarkStart w:id="765" w:name="Tc_AsJHcSjUG0iKUjGyWx0P5A_4_2"/>
      <w:bookmarkStart w:id="766" w:name="Tc_PUmRepEMg02-3dhryVMJfA_4_0"/>
      <w:bookmarkStart w:id="767" w:name="Tc_b0tWq9dpD0SKOBzCJ3VUmA_2_8"/>
      <w:bookmarkStart w:id="768" w:name="Tc_vbL6WAM_ekGuqLnIw4Im4A_2_5"/>
      <w:bookmarkStart w:id="769" w:name="Tc_f617VOauKUuytXpJwhvp_A_2_2"/>
      <w:bookmarkStart w:id="770" w:name="Tc_HVuhnNaREEqw8oF-HlrfnA_1_2"/>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r>
        <w:rPr>
          <w:rFonts w:ascii="Times New Roman;Times;serif" w:hAnsi="Times New Roman;Times;serif"/>
          <w:sz w:val="20"/>
        </w:rPr>
        <w:t>The following tables for the six months ended June 30, 2026 and 2025 disaggregate the Company’s revenue by customer end use:</w:t>
      </w:r>
    </w:p>
    <w:p>
      <w:pPr>
        <w:pStyle w:val="TextBody"/>
        <w:bidi w:val="0"/>
        <w:spacing w:before="0" w:after="0"/>
        <w:ind w:left="0" w:right="0" w:hanging="0"/>
        <w:jc w:val="left"/>
        <w:rPr/>
      </w:pPr>
      <w:r>
        <w:rPr/>
        <w:t>​</w:t>
      </w:r>
    </w:p>
    <w:tbl>
      <w:tblPr>
        <w:tblW w:w="6413" w:type="dxa"/>
        <w:jc w:val="left"/>
        <w:tblInd w:w="0" w:type="dxa"/>
        <w:tblLayout w:type="fixed"/>
        <w:tblCellMar>
          <w:top w:w="0" w:type="dxa"/>
          <w:left w:w="0" w:type="dxa"/>
          <w:bottom w:w="0" w:type="dxa"/>
          <w:right w:w="0" w:type="dxa"/>
        </w:tblCellMar>
      </w:tblPr>
      <w:tblGrid>
        <w:gridCol w:w="3361"/>
        <w:gridCol w:w="346"/>
        <w:gridCol w:w="211"/>
        <w:gridCol w:w="571"/>
        <w:gridCol w:w="146"/>
        <w:gridCol w:w="211"/>
        <w:gridCol w:w="571"/>
        <w:gridCol w:w="109"/>
        <w:gridCol w:w="211"/>
        <w:gridCol w:w="67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34235" cy="175260"/>
                      <wp:effectExtent l="0" t="0" r="0" b="0"/>
                      <wp:wrapNone/>
                      <wp:docPr id="193" name="Frame192"/>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62585" cy="175260"/>
                      <wp:effectExtent l="0" t="0" r="0" b="0"/>
                      <wp:wrapNone/>
                      <wp:docPr id="196" name="Frame1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92710" cy="175260"/>
                      <wp:effectExtent l="0" t="0" r="0" b="0"/>
                      <wp:wrapNone/>
                      <wp:docPr id="197" name="Frame19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62585" cy="175260"/>
                      <wp:effectExtent l="0" t="0" r="0" b="0"/>
                      <wp:wrapNone/>
                      <wp:docPr id="199" name="Frame1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29260" cy="175260"/>
                      <wp:effectExtent l="0" t="0" r="0" b="0"/>
                      <wp:wrapNone/>
                      <wp:docPr id="202" name="Frame2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1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Alcoholic beverages (beer, wine, spirits)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Non-alcoholic beverages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totals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1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Alcoholic beverages (beer, wine, spirits)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Non-alcoholic beverages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totals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3. Credit Losses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is exposed to credit losses primarily through its sales of glass containers to customers. The Company’s trade receivables from customers are due within one year or less. The Company assesses each customer’s ability to pay for the glass containers it sells to them by conducting a credit review. The credit review considers the expected billing exposure and timing for payment and the customer’s established credit rating or the Company’s assessment of the customer’s creditworthiness, based on an analysis of their financial statements when a credit rating is not available. The Company also considers contract terms and conditions, country and political risk, and business strategy in its evaluation. A credit limit is established for each customer based on the outcome of this review. The Company may require collateralized asset support or a prepayment to mitigate credit risk. The Company monitors its ongoing credit exposure through the active review of customer balances against contract terms and due dates, including timely account reconciliation, dispute resolution and payment confirmation. The Company may employ collection agencies and legal counsel to pursue the recovery of defaulted receivables. </w:t>
      </w:r>
    </w:p>
    <w:p>
      <w:pPr>
        <w:pStyle w:val="TextBody"/>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At June 30, 2026 and 2025, the Company reported $883 million and $848 million of accounts receivable, respectively, net of allowances of $33 million and $31 million, respectively. Changes in the allowance were not material for each of the three and six months ended June 30, 2026 and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71" w:name="Tc_zoUQjhGghEK88xbZR-hw0g_6_8"/>
      <w:bookmarkStart w:id="772" w:name="Tc_a8Gry5xRtEiSZ-UbBLfxgQ_6_5"/>
      <w:bookmarkStart w:id="773" w:name="Tc_xIaV8_PC0kqo0pbJDF2b6Q_6_2"/>
      <w:bookmarkStart w:id="774" w:name="Tc_lsC5cJaGm06MDyQH8AZnag_5_0"/>
      <w:bookmarkStart w:id="775" w:name="Tc_uOK2FIpFyEC6Jvxa-pFE2g_4_0"/>
      <w:bookmarkStart w:id="776" w:name="Tc_ay_nlgOLjkK02WdOTkJeVw_3_8"/>
      <w:bookmarkStart w:id="777" w:name="Tc_ngQntT9uhEGyXZWDpoEKYA_3_5"/>
      <w:bookmarkStart w:id="778" w:name="Tc_S13wnwPWlk-qTM1Yz5JvEA_3_2"/>
      <w:bookmarkStart w:id="779" w:name="Tc_1LaRhgwPwEe9pLEPgd-RZw_3_0"/>
      <w:bookmarkStart w:id="780" w:name="Tc_dRA_-P44Z0eyVTR9CR75mw_2_8"/>
      <w:bookmarkStart w:id="781" w:name="Tc_0FStZXsUiEez_kE7HqFZPw_2_5"/>
      <w:bookmarkStart w:id="782" w:name="Tc_hO5fsd4Xp0eKzvDHmEJgPw_2_2"/>
      <w:bookmarkStart w:id="783" w:name="Tc_zUaX0jygkUuofIimooVYmQ_1_8"/>
      <w:bookmarkStart w:id="784" w:name="Tc_bQPINVEDlU-oEhoQXopvuQ_1_5"/>
      <w:bookmarkStart w:id="785" w:name="Tc_dhRV2EaqPk-Ivbw28AFYLw_1_2"/>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ascii="Times New Roman;Times;serif" w:hAnsi="Times New Roman;Times;serif"/>
          <w:b/>
          <w:sz w:val="20"/>
        </w:rPr>
        <w:t>4. Inventories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Major classes of inventory at June 30, 2026, December 31, 2025 and June 30, 2025 are as follows:</w:t>
      </w:r>
    </w:p>
    <w:p>
      <w:pPr>
        <w:pStyle w:val="TextBody"/>
        <w:bidi w:val="0"/>
        <w:spacing w:before="0" w:after="0"/>
        <w:ind w:left="0" w:right="0" w:hanging="0"/>
        <w:jc w:val="left"/>
        <w:rPr/>
      </w:pPr>
      <w:r>
        <w:rPr/>
        <w:t>​</w:t>
      </w:r>
    </w:p>
    <w:tbl>
      <w:tblPr>
        <w:tblW w:w="5622" w:type="dxa"/>
        <w:jc w:val="left"/>
        <w:tblInd w:w="0" w:type="dxa"/>
        <w:tblLayout w:type="fixed"/>
        <w:tblCellMar>
          <w:top w:w="0" w:type="dxa"/>
          <w:left w:w="0" w:type="dxa"/>
          <w:bottom w:w="0" w:type="dxa"/>
          <w:right w:w="0" w:type="dxa"/>
        </w:tblCellMar>
      </w:tblPr>
      <w:tblGrid>
        <w:gridCol w:w="1651"/>
        <w:gridCol w:w="346"/>
        <w:gridCol w:w="255"/>
        <w:gridCol w:w="510"/>
        <w:gridCol w:w="346"/>
        <w:gridCol w:w="306"/>
        <w:gridCol w:w="834"/>
        <w:gridCol w:w="346"/>
        <w:gridCol w:w="255"/>
        <w:gridCol w:w="510"/>
        <w:gridCol w:w="109"/>
        <w:gridCol w:w="154"/>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048385" cy="175260"/>
                      <wp:effectExtent l="0" t="0" r="0" b="0"/>
                      <wp:wrapNone/>
                      <wp:docPr id="203" name="Frame202"/>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1925" cy="175260"/>
                      <wp:effectExtent l="0" t="0" r="0" b="0"/>
                      <wp:wrapNone/>
                      <wp:docPr id="205" name="Frame20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23850" cy="175260"/>
                      <wp:effectExtent l="0" t="0" r="0" b="0"/>
                      <wp:wrapNone/>
                      <wp:docPr id="206" name="Frame205"/>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94310" cy="175260"/>
                      <wp:effectExtent l="0" t="0" r="0" b="0"/>
                      <wp:wrapNone/>
                      <wp:docPr id="208" name="Frame207"/>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29590" cy="175260"/>
                      <wp:effectExtent l="0" t="0" r="0" b="0"/>
                      <wp:wrapNone/>
                      <wp:docPr id="209" name="Frame20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61925" cy="175260"/>
                      <wp:effectExtent l="0" t="0" r="0" b="0"/>
                      <wp:wrapNone/>
                      <wp:docPr id="211" name="Frame21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23850" cy="175260"/>
                      <wp:effectExtent l="0" t="0" r="0" b="0"/>
                      <wp:wrapNone/>
                      <wp:docPr id="212" name="Frame211"/>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97790" cy="175260"/>
                      <wp:effectExtent l="0" t="0" r="0" b="0"/>
                      <wp:wrapNone/>
                      <wp:docPr id="214" name="Frame21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4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right"/>
              <w:rPr/>
            </w:pPr>
            <w:r>
              <w:rPr/>
              <w:t> </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righ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right"/>
              <w:rPr/>
            </w:pPr>
            <w:r>
              <w:rPr/>
              <w:t> </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supplies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pBdr/>
        <w:bidi w:val="0"/>
        <w:spacing w:before="0" w:after="0"/>
        <w:ind w:left="0" w:right="0" w:hanging="850"/>
        <w:jc w:val="left"/>
        <w:rPr>
          <w:rFonts w:ascii="Times New Roman;Times;serif" w:hAnsi="Times New Roman;Times;serif"/>
          <w:b/>
          <w:sz w:val="20"/>
        </w:rPr>
      </w:pPr>
      <w:bookmarkStart w:id="786" w:name="Tc_2z_SPiQ4pkSD0YZidMoQfA_8_8"/>
      <w:bookmarkStart w:id="787" w:name="Tc_y-9IkkU5lUWX3_3uLpVORw_8_5"/>
      <w:bookmarkStart w:id="788" w:name="Tc_YnqDz8cY80W4EHoom0q4lQ_8_3"/>
      <w:bookmarkStart w:id="789" w:name="Tc_dJImSHZVekeh1RqWMsklQQ_8_2"/>
      <w:bookmarkStart w:id="790" w:name="Tc_Pyv90RFgykWgWBDTwa1Scg_8_0"/>
      <w:bookmarkStart w:id="791" w:name="Tc_MXAi-rRQUESDPtpcsof-1w_7_0"/>
      <w:bookmarkStart w:id="792" w:name="Tc_tqiaouoHbU-rXoYfu5CREg_6_0"/>
      <w:bookmarkStart w:id="793" w:name="Tc_gu7XfAdUUE6JXtRFxDanSQ_5_0"/>
      <w:bookmarkStart w:id="794" w:name="Tc_c09vVAhxb0mtG4paNo3Vxw_4_0"/>
      <w:bookmarkStart w:id="795" w:name="Tc_XYPKQu22wE-ZSSzOHYHXKw_3_8"/>
      <w:bookmarkStart w:id="796" w:name="Tc_lk3Lg9bYvkCt1aFTWl7k7w_3_5"/>
      <w:bookmarkStart w:id="797" w:name="Tc_q739lX2tokKYDgLVk1a1_Q_3_2"/>
      <w:bookmarkStart w:id="798" w:name="Tc_np-rrYRRr0i3a-bN6Umtdw_3_0"/>
      <w:bookmarkStart w:id="799" w:name="Tc_3aHo7T2WH0GAqY7WfW6OOQ_2_8"/>
      <w:bookmarkStart w:id="800" w:name="Tc_drGzAglSTEOpS0OIZp1djA_2_5"/>
      <w:bookmarkStart w:id="801" w:name="Tc_NtLqzg7Rm0GjP6xXR981pQ_2_2"/>
      <w:bookmarkStart w:id="802" w:name="_b619484e_c588_46dd_a96a_8e83bd19ab1a"/>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b/>
          <w:sz w:val="20"/>
        </w:rPr>
        <w:t>5. Goodwill</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changes in the carrying amount of goodwill at June 30, 2026, December 31, 2025 and June 30, 2025 are as follows:</w:t>
      </w:r>
    </w:p>
    <w:tbl>
      <w:tblPr>
        <w:tblW w:w="6445" w:type="dxa"/>
        <w:jc w:val="left"/>
        <w:tblInd w:w="0" w:type="dxa"/>
        <w:tblLayout w:type="fixed"/>
        <w:tblCellMar>
          <w:top w:w="0" w:type="dxa"/>
          <w:left w:w="0" w:type="dxa"/>
          <w:bottom w:w="0" w:type="dxa"/>
          <w:right w:w="0" w:type="dxa"/>
        </w:tblCellMar>
      </w:tblPr>
      <w:tblGrid>
        <w:gridCol w:w="2821"/>
        <w:gridCol w:w="346"/>
        <w:gridCol w:w="211"/>
        <w:gridCol w:w="541"/>
        <w:gridCol w:w="346"/>
        <w:gridCol w:w="260"/>
        <w:gridCol w:w="521"/>
        <w:gridCol w:w="346"/>
        <w:gridCol w:w="211"/>
        <w:gridCol w:w="571"/>
        <w:gridCol w:w="27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791335" cy="175260"/>
                      <wp:effectExtent l="0" t="0" r="0" b="0"/>
                      <wp:wrapNone/>
                      <wp:docPr id="215" name="Frame214"/>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43535" cy="175260"/>
                      <wp:effectExtent l="0" t="0" r="0" b="0"/>
                      <wp:wrapNone/>
                      <wp:docPr id="218" name="Frame21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5100" cy="175260"/>
                      <wp:effectExtent l="0" t="0" r="0" b="0"/>
                      <wp:wrapNone/>
                      <wp:docPr id="220" name="Frame21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30835" cy="175260"/>
                      <wp:effectExtent l="0" t="0" r="0" b="0"/>
                      <wp:wrapNone/>
                      <wp:docPr id="221" name="Frame220"/>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62585" cy="175260"/>
                      <wp:effectExtent l="0" t="0" r="0" b="0"/>
                      <wp:wrapNone/>
                      <wp:docPr id="224" name="Frame2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72085" cy="175260"/>
                      <wp:effectExtent l="0" t="0" r="0" b="0"/>
                      <wp:wrapNone/>
                      <wp:docPr id="225" name="Frame22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Europe</w:t>
            </w:r>
          </w:p>
        </w:tc>
        <w:tc>
          <w:tcPr>
            <w:tcW w:w="346" w:type="dxa"/>
            <w:tcBorders/>
            <w:vAlign w:val="center"/>
          </w:tcPr>
          <w:p>
            <w:pPr>
              <w:pStyle w:val="TableContents"/>
              <w:bidi w:val="0"/>
              <w:spacing w:before="0" w:after="0"/>
              <w:ind w:left="0" w:right="0" w:hanging="0"/>
              <w:jc w:val="center"/>
              <w:rPr/>
            </w:pPr>
            <w:r>
              <w:rPr/>
              <w:t>​</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Americas</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71" w:type="dxa"/>
            <w:tcBorders/>
            <w:vAlign w:val="center"/>
          </w:tcPr>
          <w:p>
            <w:pPr>
              <w:pStyle w:val="TableContents"/>
              <w:bidi w:val="0"/>
              <w:spacing w:before="0" w:after="0"/>
              <w:ind w:left="0" w:right="0" w:hanging="0"/>
              <w:jc w:val="center"/>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effects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Impairment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271"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effects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2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part of its on-going assessment of goodwill, the Company determined that indicators of impairment occurred during the second quarter of 2026, including a significant reduction of its share price and lower projected earnings and cash flow from its European operations.  The Company's business in Europe has experienced a combination of softer demand and an increasingly competitive market backdrop, which pressured price amid low-capacity utilization. In the second quarter of 2026, higher operating costs associated with recent plant restructuring actions in Europe also impacted operations more negatively. Higher global energy costs in Europe are also expected in future periods driven by the conflicts in the Middle East.  These factors, combined with the narrow difference between the estimated fair value and carrying value of the Europe reporting unit as of December 31, 2025, resulted in the Company performing an interim impairment analysis during the second quarter of 2026.  As a result, the Company recorded a non-cash impairment charge of $873 million in the second quarter of 2026, which was equal to the excess of the Europe reporting unit's carrying value over its fair value and resulted in a complete impairment of Europe’s goodwill balance. Goodwill related to the Company’s Latin America reporting unit (Americas segment) was determined to not be impaired as a result of the interim impairment analysis and no goodwill remains on the Company's North America reporting unit.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When performing its test for goodwill impairment, the Company compares the business enterprise value (“BEV”) of each reporting unit with its carrying value. The BEV is computed based on estimated future cash flows, discounted at the weighted average cost of capital of a hypothetical third-party buyer. If the BEV is less than the carrying value for any reporting unit, then any excess of the carrying value over the BEV is recorded as an impairment loss.  The calculations of the BEV are based on significant internal and external inputs, such as projected future cash flows of the reporting units, discount rates, and terminal business value, among other assumptions. The valuation approach utilized by management represents a Level 3 fair value measurement measured on a non-recurring basis in the fair value hierarchy due to the Company’s use of unobservable inputs. The Company’s projected future cash flows incorporates management’s best estimates of the expected future results including, but not limited to, price trends, customer demand, material costs, asset replacement costs and any other known factors.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remaining balance of goodwill in Latin America remains susceptible to future impairment charges.  If the Company’s projected future cash flows were substantially lower, or if the assumed weighted average cost of capital were substantially higher, the testing performed during the second quarter of 2026 may have resulted in an impairment in the Company’s Latin America reporting unit. Any impairment charges that the Company may take in the future could be material to its consolidated results of operations and financial condition.</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a result of the impairment of Europe’s goodwill balance, the Company conducted a review during the second quarter of 2026 and determined there was no impairment of Europe’s long-lived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for the Americas segment is net of accumulated impairment losses of $1,040 million as of June 30, 2025, December 31, 2025, and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6. Derivative Instruments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has certain derivative assets and liabilities which consist of natural gas forwards and collars, foreign exchange option and forward contracts, interest rate swaps and cross-currency swaps. The valuation of these instruments is determined primarily using the income approach, including discounted cash flow analysis on the expected cash flows of each derivative. Natural gas prices, foreign exchange rates and interest rates are the significant inputs into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rFonts w:ascii="Times New Roman;Times;serif" w:hAnsi="Times New Roman;Times;serif"/>
          <w:sz w:val="20"/>
        </w:rPr>
      </w:pPr>
      <w:bookmarkStart w:id="803" w:name="f1f2ca71_5ce5_47fa_9f97_bb635ac66426"/>
      <w:bookmarkEnd w:id="803"/>
      <w:r>
        <w:rPr>
          <w:rFonts w:ascii="Times New Roman;Times;serif" w:hAnsi="Times New Roman;Times;serif"/>
          <w:sz w:val="20"/>
        </w:rPr>
        <w:t xml:space="preserve">valuation models. The Company also evaluates counterparty risk in determining fair values. This analysis reflects the contractual terms of the derivatives, including the period to maturity, and uses observable market-based inputs, including interest rate curves and implied volatilities. Estimates of the fair value of foreign currency and commodity derivative instruments are determined using exchange traded prices and rates. The fair values of interest rate swaps are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 These inputs are observable in active markets over the terms of the instruments the Company holds, and accordingly, the Company classifies its derivative assets and liabilities as Level 2 in the hierarchy.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Commodity Forward Contracts and Collars Designated as Cash Flow Hedges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entered into commodity forward contracts and collars related to forecasted natural gas requirements, the objective of which are to limit the effects of fluctuations in future market prices of natural gas and the related volatility in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unrecognized loss of $12 million and $0 million at June 30, 2026 and December 31, 2025, respectively, and an unrecognized gain of $1 million at June 30, 2025 related to the commodity forward contracts and collars was included in Accumulated other comprehensive income (loss) (“Accumulated OCI”), and will be reclassified into earnings over the next 12 months.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 Hedges of Foreign Exchange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variable-interest rate borrowings denominated in currencies other than the functional currency of the borrowing subsidiaries. As a result, the Company is exposed to fluctuations in the currency of the borrowing against the subsidiaries’ functional currency. The Company uses derivatives to manage these exposures and designates these derivatives as cash flow hedges of foreign exchange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unrecognized gains related to cross-currency swaps were included in Accumulated OCI at June 30, 2026, December 31, 2025 and June 30,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Fair Value Hedges of Foreign Exchange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fixed and variable interest rate borrowings denominated in currencies other than the functional currency of the borrowing subsidiaries. As a result, the Company is exposed to fluctuations in the currency of the borrowing against the subsidiaries’ functional currency.  The Company uses derivatives to manage these exposures and designates these derivatives as fair value hedges of foreign exchange risk. Approximately $4 million, $1 million and $2 million of the components were excluded from the assessment of effectiveness and are included in Accumulated OCI at June 30, 2026, December 31, 2025 and June 30, 2025,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Investment Hedges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is exposed to fluctuations in foreign exchange rates on investments it holds in non-U.S. subsidiaries and uses cross-currency swaps to partially hedge this exposure.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Foreign Exchange Derivative Contracts Not Designated as Hedging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uses short-term forward exchange or option agreements to purchase foreign currencies at set rates in the future. These agreements are used to limit exposure to fluctuations in foreign currency exchange rates for significant planned purchases of fixed assets or commodities that are denominated in currencies other than the subsidiaries’ functional currency. The Company also uses foreign exchange agreements to offset the foreign currency exchange rate risk for receivables and payables, including intercompany receivables, payables, and loans, not denominated in, or indexed to, their functional currencies.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rFonts w:ascii="Times New Roman;Times;serif" w:hAnsi="Times New Roman;Times;serif"/>
          <w:i/>
          <w:sz w:val="20"/>
        </w:rPr>
      </w:pPr>
      <w:bookmarkStart w:id="804" w:name="Tc_nSrcv8vyykKifx_Esl5xvQ_8_12"/>
      <w:bookmarkStart w:id="805" w:name="Tc_8Iqd70gyVE6lmGo17UdpRg_8_9"/>
      <w:bookmarkStart w:id="806" w:name="Tc_chGXKgFWtE-hMeaTPGvWwQ_8_5"/>
      <w:bookmarkStart w:id="807" w:name="Tc_yBP_1ccPYUOG_IGNXouyJw_8_2"/>
      <w:bookmarkStart w:id="808" w:name="Tc_Nj3pCqboMUuHRIodSMOmWQ_7_0"/>
      <w:bookmarkStart w:id="809" w:name="Tc_ygYSHTsCOUiXitSIW8qEug_6_0"/>
      <w:bookmarkStart w:id="810" w:name="Tc_S7IbRpmTMECE7mR6Swuygg_5_13"/>
      <w:bookmarkStart w:id="811" w:name="Tc_U73-zJR-1kmNw1LAu7Zfeg_5_12"/>
      <w:bookmarkStart w:id="812" w:name="Tc_up0Zt7wf2USK-HMgN9nwEw_5_10"/>
      <w:bookmarkStart w:id="813" w:name="Tc_je5QlRsCbEmEN6fPatvgZA_5_9"/>
      <w:bookmarkStart w:id="814" w:name="Tc_DwgvzQXVc0-Jmw1Yle3M6g_5_5"/>
      <w:bookmarkStart w:id="815" w:name="Tc_AjfFFSTVOkqsaQI-MyuThg_5_2"/>
      <w:bookmarkStart w:id="816" w:name="Tc_G3mFOM4dGkKQUJU_hWUFEQ_5_0"/>
      <w:bookmarkStart w:id="817" w:name="Tc_HOhJATzrF0SDUZ417cW4jg_4_0"/>
      <w:bookmarkStart w:id="818" w:name="Tc_KwasugCE2UmnjnmSf9mWPA_3_12"/>
      <w:bookmarkStart w:id="819" w:name="Tc_fzR1j7H2t0u12FH8WPNT9A_3_9"/>
      <w:bookmarkStart w:id="820" w:name="Tc_3B84mTyk20eqmg_gE2PY0Q_3_5"/>
      <w:bookmarkStart w:id="821" w:name="Tc_vmqgzUDayE6RXQD-5Yx_Pg_3_2"/>
      <w:bookmarkStart w:id="822" w:name="Tc_s9PPni21v0q6bdA-cHJhTA_3_0"/>
      <w:bookmarkStart w:id="823" w:name="Tc_QBUP_gGKYkqdoTIl-TxsvA_2_9"/>
      <w:bookmarkStart w:id="824" w:name="Tc_5Mcl92emX02uSgDqqy9owg_2_2"/>
      <w:bookmarkStart w:id="825" w:name="Tc_RCU2sq3gY0KnTrOmI_d-tQ_1_9"/>
      <w:bookmarkStart w:id="826" w:name="Tc_3lK2Xm9mtUChCrLorsp4NQ_1_2"/>
      <w:bookmarkStart w:id="827" w:name="_6f486a36_fc29_4114_b352_d3a5c21c40af"/>
      <w:bookmarkStart w:id="828" w:name="Narr_6t6akwnjg06Tp_enH7bHHQ"/>
      <w:bookmarkStart w:id="829" w:name="Tc_Mc1SbvCcDUycGNnZxW4bbg_17_17"/>
      <w:bookmarkStart w:id="830" w:name="Tc_uIf6b5aa006luPmhy4vetA_17_14"/>
      <w:bookmarkStart w:id="831" w:name="Tc_2Kl4FgLLWkuF9wbzDoNXgQ_17_11"/>
      <w:bookmarkStart w:id="832" w:name="Tc_8qo6LO_DdEOurQBT6Qa9Yw_17_8"/>
      <w:bookmarkStart w:id="833" w:name="Tc_XBpD59I7lkiBtodS_2OUZw_17_5"/>
      <w:bookmarkStart w:id="834" w:name="Tc_8F1CFH7Nvk6OCDjs0rYLFA_17_2"/>
      <w:bookmarkStart w:id="835" w:name="Tc_jrKEhMVkcEWCmnEmRLtS-A_17_0"/>
      <w:bookmarkStart w:id="836" w:name="Tc_pgSl4itPX06BNVMM-NxwAA_16_9"/>
      <w:bookmarkStart w:id="837" w:name="Tc_0uguMktZ5UefYBxs0z4Myg_16_0"/>
      <w:bookmarkStart w:id="838" w:name="Tc_gsHMx9e9U0iBHM93FUR3bQ_15_17"/>
      <w:bookmarkStart w:id="839" w:name="Tc_GJmlr_1GA0W0eu0Fb_uWbA_15_14"/>
      <w:bookmarkStart w:id="840" w:name="Tc_aC1dc9zQAE-YxNBbq9RkDA_15_11"/>
      <w:bookmarkStart w:id="841" w:name="Tc_B5kweFAnWkaMYI0dOXoiuA_15_8"/>
      <w:bookmarkStart w:id="842" w:name="Tc_4RoXncNOdECnCga-pxT6FQ_15_5"/>
      <w:bookmarkStart w:id="843" w:name="Tc_br2wg5crj0SqRVFGeiQX0A_15_2"/>
      <w:bookmarkStart w:id="844" w:name="Tc_qDd-b4b4uU6VadhqquL-ow_15_0"/>
      <w:bookmarkStart w:id="845" w:name="Tc_IHTiT7X0uUSyDvT9-gUmow_12_17"/>
      <w:bookmarkStart w:id="846" w:name="Tc_5hXC3oPRtEiGexKw3RhBAg_12_14"/>
      <w:bookmarkStart w:id="847" w:name="Tc_Ac_HfDlBfk2aGNOshpyK-Q_12_11"/>
      <w:bookmarkStart w:id="848" w:name="Tc_T8Iyx4Xdpkulc4SYW3npSA_12_8"/>
      <w:bookmarkStart w:id="849" w:name="Tc_BsWE8uAkFkuzday564PpVQ_12_5"/>
      <w:bookmarkStart w:id="850" w:name="Tc_Ly6fNbLr3UW248Hn1Z51ow_12_2"/>
      <w:bookmarkStart w:id="851" w:name="Tc_k5qSS0w5e0uQUE4OARqK7A_12_0"/>
      <w:bookmarkStart w:id="852" w:name="Tc_tV2KslHcS0yBznUIJQEyUA_11_0"/>
      <w:bookmarkStart w:id="853" w:name="Tc_z1TRptevUECjApWoTUvm3A_10_0"/>
      <w:bookmarkStart w:id="854" w:name="Tc_u1YRx0Qc60us1_1ovkS5lA_9_17"/>
      <w:bookmarkStart w:id="855" w:name="Tc_bWKMelgY0E6eiSUyB69Bvw_9_14"/>
      <w:bookmarkStart w:id="856" w:name="Tc_6zfG3I1AbUOLaxiIiraElQ_9_11"/>
      <w:bookmarkStart w:id="857" w:name="Tc_kJnWpl848UGKhZuo1oQSOA_9_8"/>
      <w:bookmarkStart w:id="858" w:name="Tc_m_jQxi1hE0uTEtwh5xGRdA_9_5"/>
      <w:bookmarkStart w:id="859" w:name="Tc_OtbfeBFIq0e0lfjdDytkgw_9_2"/>
      <w:bookmarkStart w:id="860" w:name="Tc_X0CHCacDJ02-hOZNbUPzQw_9_0"/>
      <w:bookmarkStart w:id="861" w:name="Tc_yu3NRj6Li0u7Ng4lxDS4eA_8_0"/>
      <w:bookmarkStart w:id="862" w:name="Tc_GG_ZOCtgOkegWA3mFWHqwA_7_0"/>
      <w:bookmarkStart w:id="863" w:name="Tc_YXSdiCYMEEWwRERPKEerGw_6_17"/>
      <w:bookmarkStart w:id="864" w:name="Tc_DHqDvbtWEkioLNLRoGnq5w_6_14"/>
      <w:bookmarkStart w:id="865" w:name="Tc_U7DhQtT_PU2UOM7HFLMfdQ_6_11"/>
      <w:bookmarkStart w:id="866" w:name="Tc_Yug_nkCnHEm1wA4PswoLBQ_6_9"/>
      <w:bookmarkStart w:id="867" w:name="Tc_SrATQAOyW0mKbBp_d8hC7w_6_8"/>
      <w:bookmarkStart w:id="868" w:name="Tc_vZGGzF9FzEyJbDdh63KlfA_6_6"/>
      <w:bookmarkStart w:id="869" w:name="Tc_nmxkcoTIM0KzqJ60pAyozQ_6_5"/>
      <w:bookmarkStart w:id="870" w:name="Tc_hbtMS-aeZU6L8LBc7OBjPg_6_2"/>
      <w:bookmarkStart w:id="871" w:name="Tc_dq68705IWUWv7vDwivwtqg_6_0"/>
      <w:bookmarkStart w:id="872" w:name="Tc_fpgJzO_KdkaEHZaOTjPxSw_5_0"/>
      <w:bookmarkStart w:id="873" w:name="Tc_ILv4Un0RS0K-JHroqYrSxQ_4_17"/>
      <w:bookmarkStart w:id="874" w:name="Tc_vNZh0Qjh50OwwPQmRr_q8A_4_14"/>
      <w:bookmarkStart w:id="875" w:name="Tc_MOlm1Fos3EKJJ1o_ZapfbQ_4_11"/>
      <w:bookmarkStart w:id="876" w:name="Tc_8N1iWtUdg0GXzSbpQ4vwpA_4_8"/>
      <w:bookmarkStart w:id="877" w:name="Tc_1qpZ7wFHFkCVtd7i44Gapw_4_5"/>
      <w:bookmarkStart w:id="878" w:name="Tc_BuVO4_fN2UypLF1vwqAiJg_4_2"/>
      <w:bookmarkStart w:id="879" w:name="Tc_sSvwTKzY0USfnIfjD26Dlg_3_17"/>
      <w:bookmarkStart w:id="880" w:name="Tc_lc6iWDsnAkueEAVDeGGbHQ_3_14"/>
      <w:bookmarkStart w:id="881" w:name="Tc_lvamz9nvwEqi6eypf-FSyw_3_11"/>
      <w:bookmarkStart w:id="882" w:name="Tc_ddpWX1MsHkyu3p-_1IAS5w_3_8"/>
      <w:bookmarkStart w:id="883" w:name="Tc_0OHqwR_Ua0CWB3uuVyHonQ_3_5"/>
      <w:bookmarkStart w:id="884" w:name="Tc_IOZujqcsw0mNPV7ki5Qv_g_3_2"/>
      <w:bookmarkStart w:id="885" w:name="Tc_JfkzK-F6GkaxNI4AM8vpIQ_2_11"/>
      <w:bookmarkStart w:id="886" w:name="Tc_O2Zg_XxIE0G66uTW3-LTuw_2_2"/>
      <w:bookmarkStart w:id="887" w:name="Tc_dUwq0q5pvUqL2Hc1fO5EeQ_1_11"/>
      <w:bookmarkStart w:id="888" w:name="Tc_SsIAaxfhZkiCYcgZV_wd-g_1_2"/>
      <w:bookmarkStart w:id="889" w:name="_357aaed1_6f54_4996_a730_7c09ab4cfcd6"/>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rFonts w:ascii="Times New Roman;Times;serif" w:hAnsi="Times New Roman;Times;serif"/>
          <w:i/>
          <w:sz w:val="20"/>
        </w:rPr>
        <w:t>Balance Sheet Classification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shows the amount and classification (as noted above) of the Company’s derivatives at June 30, 2026, December 31, 2025 and June 30,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40"/>
        <w:gridCol w:w="346"/>
        <w:gridCol w:w="264"/>
        <w:gridCol w:w="434"/>
        <w:gridCol w:w="346"/>
        <w:gridCol w:w="392"/>
        <w:gridCol w:w="647"/>
        <w:gridCol w:w="346"/>
        <w:gridCol w:w="264"/>
        <w:gridCol w:w="434"/>
        <w:gridCol w:w="346"/>
        <w:gridCol w:w="241"/>
        <w:gridCol w:w="481"/>
        <w:gridCol w:w="346"/>
        <w:gridCol w:w="346"/>
        <w:gridCol w:w="694"/>
        <w:gridCol w:w="346"/>
        <w:gridCol w:w="225"/>
        <w:gridCol w:w="567"/>
      </w:tblGrid>
      <w:tr>
        <w:trPr/>
        <w:tc>
          <w:tcPr>
            <w:tcW w:w="3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993900" cy="175260"/>
                      <wp:effectExtent l="0" t="0" r="0" b="0"/>
                      <wp:wrapNone/>
                      <wp:docPr id="226" name="Frame225"/>
                      <a:graphic xmlns:a="http://schemas.openxmlformats.org/drawingml/2006/main">
                        <a:graphicData uri="http://schemas.microsoft.com/office/word/2010/wordprocessingShape">
                          <wps:wsp>
                            <wps:cNvSpPr txBox="1"/>
                            <wps:spPr>
                              <a:xfrm>
                                <a:off x="0" y="0"/>
                                <a:ext cx="199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7640" cy="175260"/>
                      <wp:effectExtent l="0" t="0" r="0" b="0"/>
                      <wp:wrapNone/>
                      <wp:docPr id="228" name="Frame227"/>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75590" cy="175260"/>
                      <wp:effectExtent l="0" t="0" r="0" b="0"/>
                      <wp:wrapNone/>
                      <wp:docPr id="229" name="Frame228"/>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48920" cy="175260"/>
                      <wp:effectExtent l="0" t="0" r="0" b="0"/>
                      <wp:wrapNone/>
                      <wp:docPr id="231" name="Frame23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10845" cy="175260"/>
                      <wp:effectExtent l="0" t="0" r="0" b="0"/>
                      <wp:wrapNone/>
                      <wp:docPr id="232" name="Frame231"/>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7640" cy="175260"/>
                      <wp:effectExtent l="0" t="0" r="0" b="0"/>
                      <wp:wrapNone/>
                      <wp:docPr id="234" name="Frame233"/>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75590" cy="175260"/>
                      <wp:effectExtent l="0" t="0" r="0" b="0"/>
                      <wp:wrapNone/>
                      <wp:docPr id="235" name="Frame234"/>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53035" cy="175260"/>
                      <wp:effectExtent l="0" t="0" r="0" b="0"/>
                      <wp:wrapNone/>
                      <wp:docPr id="237" name="Frame23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05435" cy="175260"/>
                      <wp:effectExtent l="0" t="0" r="0" b="0"/>
                      <wp:wrapNone/>
                      <wp:docPr id="238" name="Frame23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40690" cy="175260"/>
                      <wp:effectExtent l="0" t="0" r="0" b="0"/>
                      <wp:wrapNone/>
                      <wp:docPr id="241" name="Frame240"/>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42875" cy="175260"/>
                      <wp:effectExtent l="0" t="0" r="0" b="0"/>
                      <wp:wrapNone/>
                      <wp:docPr id="243" name="Frame24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60045" cy="175260"/>
                      <wp:effectExtent l="0" t="0" r="0" b="0"/>
                      <wp:wrapNone/>
                      <wp:docPr id="244" name="Frame243"/>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40"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312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w:t>
            </w:r>
          </w:p>
        </w:tc>
        <w:tc>
          <w:tcPr>
            <w:tcW w:w="346" w:type="dxa"/>
            <w:tcBorders/>
            <w:vAlign w:val="center"/>
          </w:tcPr>
          <w:p>
            <w:pPr>
              <w:pStyle w:val="TableContents"/>
              <w:bidi w:val="0"/>
              <w:spacing w:before="0" w:after="0"/>
              <w:ind w:left="0" w:right="0" w:hanging="0"/>
              <w:jc w:val="left"/>
              <w:rPr/>
            </w:pPr>
            <w:r>
              <w:rPr/>
              <w:t>​</w:t>
            </w:r>
          </w:p>
        </w:tc>
        <w:tc>
          <w:tcPr>
            <w:tcW w:w="324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w:t>
            </w:r>
          </w:p>
        </w:tc>
      </w:tr>
      <w:tr>
        <w:trPr/>
        <w:tc>
          <w:tcPr>
            <w:tcW w:w="3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2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Hedge Assets</w:t>
            </w:r>
          </w:p>
        </w:tc>
        <w:tc>
          <w:tcPr>
            <w:tcW w:w="346" w:type="dxa"/>
            <w:tcBorders/>
            <w:vAlign w:val="center"/>
          </w:tcPr>
          <w:p>
            <w:pPr>
              <w:pStyle w:val="TableContents"/>
              <w:bidi w:val="0"/>
              <w:spacing w:before="0" w:after="0"/>
              <w:ind w:left="0" w:right="0" w:hanging="0"/>
              <w:jc w:val="center"/>
              <w:rPr/>
            </w:pPr>
            <w:r>
              <w:rPr/>
              <w:t>​</w:t>
            </w:r>
          </w:p>
        </w:tc>
        <w:tc>
          <w:tcPr>
            <w:tcW w:w="324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Hedge Liabilities</w:t>
            </w:r>
          </w:p>
        </w:tc>
      </w:tr>
      <w:tr>
        <w:trPr/>
        <w:tc>
          <w:tcPr>
            <w:tcW w:w="3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center"/>
              <w:rPr/>
            </w:pPr>
            <w:r>
              <w:rPr/>
              <w:t>​</w:t>
            </w:r>
          </w:p>
        </w:tc>
        <w:tc>
          <w:tcPr>
            <w:tcW w:w="10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46" w:type="dxa"/>
            <w:tcBorders/>
            <w:vAlign w:val="center"/>
          </w:tcPr>
          <w:p>
            <w:pPr>
              <w:pStyle w:val="TableContents"/>
              <w:bidi w:val="0"/>
              <w:spacing w:before="0" w:after="0"/>
              <w:ind w:left="0" w:right="0" w:hanging="0"/>
              <w:jc w:val="center"/>
              <w:rPr/>
            </w:pPr>
            <w:r>
              <w:rPr/>
              <w:t>​</w:t>
            </w:r>
          </w:p>
        </w:tc>
        <w:tc>
          <w:tcPr>
            <w:tcW w:w="6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center"/>
              <w:rPr/>
            </w:pPr>
            <w:r>
              <w:rPr/>
              <w:t>​</w:t>
            </w:r>
          </w:p>
        </w:tc>
        <w:tc>
          <w:tcPr>
            <w:tcW w:w="7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center"/>
              <w:rPr/>
            </w:pPr>
            <w:r>
              <w:rPr/>
              <w:t>​</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46" w:type="dxa"/>
            <w:tcBorders/>
            <w:vAlign w:val="center"/>
          </w:tcPr>
          <w:p>
            <w:pPr>
              <w:pStyle w:val="TableContents"/>
              <w:bidi w:val="0"/>
              <w:spacing w:before="0" w:after="0"/>
              <w:ind w:left="0" w:right="0" w:hanging="0"/>
              <w:jc w:val="center"/>
              <w:rPr/>
            </w:pPr>
            <w:r>
              <w:rPr/>
              <w:t>​</w:t>
            </w:r>
          </w:p>
        </w:tc>
        <w:tc>
          <w:tcPr>
            <w:tcW w:w="7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r>
      <w:tr>
        <w:trPr/>
        <w:tc>
          <w:tcPr>
            <w:tcW w:w="3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Derivatives designated as hedging instruments:</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left"/>
              <w:rPr/>
            </w:pPr>
            <w:r>
              <w:rPr/>
              <w:t>  ​ ​ ​</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Commodity forward contracts and collars (a)</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Fair value hedges of foreign exchange risk (b)</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346" w:type="dxa"/>
            <w:tcBorders/>
            <w:shd w:fill="CCEEFF" w:val="clear"/>
            <w:vAlign w:val="center"/>
          </w:tcPr>
          <w:p>
            <w:pPr>
              <w:pStyle w:val="TableContents"/>
              <w:bidi w:val="0"/>
              <w:spacing w:before="0" w:after="0"/>
              <w:ind w:left="0" w:right="0" w:hanging="0"/>
              <w:jc w:val="righ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w:t>
            </w:r>
          </w:p>
        </w:tc>
        <w:tc>
          <w:tcPr>
            <w:tcW w:w="346" w:type="dxa"/>
            <w:tcBorders/>
            <w:shd w:fill="CCEEFF" w:val="clear"/>
            <w:vAlign w:val="center"/>
          </w:tcPr>
          <w:p>
            <w:pPr>
              <w:pStyle w:val="TableContents"/>
              <w:bidi w:val="0"/>
              <w:spacing w:before="0" w:after="0"/>
              <w:ind w:left="0" w:right="0" w:hanging="0"/>
              <w:jc w:val="righ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163</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investment hedges (c)</w:t>
            </w:r>
          </w:p>
        </w:tc>
        <w:tc>
          <w:tcPr>
            <w:tcW w:w="34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w:t>
            </w:r>
          </w:p>
        </w:tc>
        <w:tc>
          <w:tcPr>
            <w:tcW w:w="346"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w:t>
            </w:r>
          </w:p>
        </w:tc>
        <w:tc>
          <w:tcPr>
            <w:tcW w:w="346" w:type="dxa"/>
            <w:tcBorders/>
            <w:vAlign w:val="center"/>
          </w:tcPr>
          <w:p>
            <w:pPr>
              <w:pStyle w:val="TableContents"/>
              <w:bidi w:val="0"/>
              <w:spacing w:before="0" w:after="0"/>
              <w:ind w:left="0" w:right="0" w:hanging="0"/>
              <w:jc w:val="righ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207</w:t>
            </w:r>
          </w:p>
        </w:tc>
        <w:tc>
          <w:tcPr>
            <w:tcW w:w="346" w:type="dxa"/>
            <w:tcBorders/>
            <w:vAlign w:val="center"/>
          </w:tcPr>
          <w:p>
            <w:pPr>
              <w:pStyle w:val="TableContents"/>
              <w:bidi w:val="0"/>
              <w:spacing w:before="0" w:after="0"/>
              <w:ind w:left="0" w:right="0" w:hanging="0"/>
              <w:jc w:val="righ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142</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derivatives accounted for as hedges</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346" w:type="dxa"/>
            <w:tcBorders/>
            <w:shd w:fill="CCEEFF" w:val="clear"/>
            <w:vAlign w:val="center"/>
          </w:tcPr>
          <w:p>
            <w:pPr>
              <w:pStyle w:val="TableContents"/>
              <w:bidi w:val="0"/>
              <w:spacing w:before="0" w:after="0"/>
              <w:ind w:left="0" w:right="0" w:hanging="0"/>
              <w:jc w:val="righ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287</w:t>
            </w:r>
          </w:p>
        </w:tc>
        <w:tc>
          <w:tcPr>
            <w:tcW w:w="346" w:type="dxa"/>
            <w:tcBorders/>
            <w:shd w:fill="CCEEFF" w:val="clear"/>
            <w:vAlign w:val="center"/>
          </w:tcPr>
          <w:p>
            <w:pPr>
              <w:pStyle w:val="TableContents"/>
              <w:bidi w:val="0"/>
              <w:spacing w:before="0" w:after="0"/>
              <w:ind w:left="0" w:right="0" w:hanging="0"/>
              <w:jc w:val="righ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306</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Derivatives not designated as hedges:</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4"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25"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pPr>
            <w:r>
              <w:rPr/>
              <w:t>​</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Foreign exchange derivative contracts (d)</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derivatives</w:t>
            </w:r>
          </w:p>
        </w:tc>
        <w:tc>
          <w:tcPr>
            <w:tcW w:w="34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w:t>
            </w:r>
          </w:p>
        </w:tc>
        <w:tc>
          <w:tcPr>
            <w:tcW w:w="346"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w:t>
            </w:r>
          </w:p>
        </w:tc>
        <w:tc>
          <w:tcPr>
            <w:tcW w:w="346" w:type="dxa"/>
            <w:tcBorders/>
            <w:vAlign w:val="center"/>
          </w:tcPr>
          <w:p>
            <w:pPr>
              <w:pStyle w:val="TableContents"/>
              <w:bidi w:val="0"/>
              <w:spacing w:before="0" w:after="0"/>
              <w:ind w:left="0" w:right="0" w:hanging="0"/>
              <w:jc w:val="righ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287</w:t>
            </w:r>
          </w:p>
        </w:tc>
        <w:tc>
          <w:tcPr>
            <w:tcW w:w="346" w:type="dxa"/>
            <w:tcBorders/>
            <w:vAlign w:val="center"/>
          </w:tcPr>
          <w:p>
            <w:pPr>
              <w:pStyle w:val="TableContents"/>
              <w:bidi w:val="0"/>
              <w:spacing w:before="0" w:after="0"/>
              <w:ind w:left="0" w:right="0" w:hanging="0"/>
              <w:jc w:val="righ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307</w:t>
            </w:r>
          </w:p>
        </w:tc>
      </w:tr>
      <w:tr>
        <w:trPr/>
        <w:tc>
          <w:tcPr>
            <w:tcW w:w="3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left"/>
              <w:rPr/>
            </w:pPr>
            <w:r>
              <w:rPr/>
              <w:t>​</w:t>
            </w:r>
          </w:p>
        </w:tc>
      </w:tr>
      <w:tr>
        <w:trPr/>
        <w:tc>
          <w:tcPr>
            <w:tcW w:w="3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left"/>
              <w:rPr/>
            </w:pPr>
            <w:r>
              <w:rPr/>
              <w:t>​</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3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w:t>
            </w:r>
          </w:p>
        </w:tc>
        <w:tc>
          <w:tcPr>
            <w:tcW w:w="346" w:type="dxa"/>
            <w:tcBorders/>
            <w:shd w:fill="CCEEFF" w:val="clear"/>
            <w:vAlign w:val="center"/>
          </w:tcPr>
          <w:p>
            <w:pPr>
              <w:pStyle w:val="TableContents"/>
              <w:bidi w:val="0"/>
              <w:spacing w:before="0" w:after="0"/>
              <w:ind w:left="0" w:right="0" w:hanging="0"/>
              <w:jc w:val="righ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3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w:t>
            </w:r>
          </w:p>
        </w:tc>
        <w:tc>
          <w:tcPr>
            <w:tcW w:w="346" w:type="dxa"/>
            <w:tcBorders/>
            <w:shd w:fill="CCEEFF" w:val="clear"/>
            <w:vAlign w:val="center"/>
          </w:tcPr>
          <w:p>
            <w:pPr>
              <w:pStyle w:val="TableContents"/>
              <w:bidi w:val="0"/>
              <w:spacing w:before="0" w:after="0"/>
              <w:ind w:left="0" w:right="0" w:hanging="0"/>
              <w:jc w:val="righ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157</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Noncurrent</w:t>
            </w:r>
          </w:p>
        </w:tc>
        <w:tc>
          <w:tcPr>
            <w:tcW w:w="34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346"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216</w:t>
            </w:r>
          </w:p>
        </w:tc>
        <w:tc>
          <w:tcPr>
            <w:tcW w:w="346" w:type="dxa"/>
            <w:tcBorders/>
            <w:vAlign w:val="center"/>
          </w:tcPr>
          <w:p>
            <w:pPr>
              <w:pStyle w:val="TableContents"/>
              <w:bidi w:val="0"/>
              <w:spacing w:before="0" w:after="0"/>
              <w:ind w:left="0" w:right="0" w:hanging="0"/>
              <w:jc w:val="righ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w:t>
            </w:r>
          </w:p>
        </w:tc>
        <w:tc>
          <w:tcPr>
            <w:tcW w:w="346" w:type="dxa"/>
            <w:tcBorders/>
            <w:shd w:fill="CCEEFF" w:val="clear"/>
            <w:vAlign w:val="center"/>
          </w:tcPr>
          <w:p>
            <w:pPr>
              <w:pStyle w:val="TableContents"/>
              <w:bidi w:val="0"/>
              <w:spacing w:before="0" w:after="0"/>
              <w:ind w:left="0" w:right="0" w:hanging="0"/>
              <w:jc w:val="righ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287</w:t>
            </w:r>
          </w:p>
        </w:tc>
        <w:tc>
          <w:tcPr>
            <w:tcW w:w="346" w:type="dxa"/>
            <w:tcBorders/>
            <w:shd w:fill="CCEEFF" w:val="clear"/>
            <w:vAlign w:val="center"/>
          </w:tcPr>
          <w:p>
            <w:pPr>
              <w:pStyle w:val="TableContents"/>
              <w:bidi w:val="0"/>
              <w:spacing w:before="0" w:after="0"/>
              <w:ind w:left="0" w:right="0" w:hanging="0"/>
              <w:jc w:val="righ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307</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notional amount of the commodity forward contracts and collars was approximately 32</w:t>
            </w:r>
            <w:r>
              <w:rPr>
                <w:caps w:val="false"/>
                <w:smallCaps w:val="false"/>
              </w:rPr>
              <w:t xml:space="preserve"> </w:t>
            </w:r>
            <w:r>
              <w:rPr>
                <w:rFonts w:ascii="Times New Roman;Times;serif" w:hAnsi="Times New Roman;Times;serif"/>
                <w:b w:val="false"/>
                <w:i w:val="false"/>
                <w:caps w:val="false"/>
                <w:smallCaps w:val="false"/>
                <w:sz w:val="20"/>
              </w:rPr>
              <w:t>million, 9</w:t>
            </w:r>
            <w:r>
              <w:rPr>
                <w:caps w:val="false"/>
                <w:smallCaps w:val="false"/>
              </w:rPr>
              <w:t xml:space="preserve"> </w:t>
            </w:r>
            <w:r>
              <w:rPr>
                <w:rFonts w:ascii="Times New Roman;Times;serif" w:hAnsi="Times New Roman;Times;serif"/>
                <w:b w:val="false"/>
                <w:i w:val="false"/>
                <w:caps w:val="false"/>
                <w:smallCaps w:val="false"/>
                <w:sz w:val="20"/>
              </w:rPr>
              <w:t>million, and 9</w:t>
            </w:r>
            <w:r>
              <w:rPr>
                <w:caps w:val="false"/>
                <w:smallCaps w:val="false"/>
              </w:rPr>
              <w:t xml:space="preserve"> </w:t>
            </w:r>
            <w:r>
              <w:rPr>
                <w:rFonts w:ascii="Times New Roman;Times;serif" w:hAnsi="Times New Roman;Times;serif"/>
                <w:b w:val="false"/>
                <w:i w:val="false"/>
                <w:caps w:val="false"/>
                <w:smallCaps w:val="false"/>
                <w:sz w:val="20"/>
              </w:rPr>
              <w:t>million British Thermal Units at June 30, 2026, December 31, 2025, and June 30, 2025, respectively. The maximum maturity dates are in 2027 at June 30, 2026, December 31, 2025, and June 30, 2025.</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notional amounts of the fair value hedges of foreign exchange risk were $400</w:t>
            </w:r>
            <w:r>
              <w:rPr>
                <w:caps w:val="false"/>
                <w:smallCaps w:val="false"/>
              </w:rPr>
              <w:t xml:space="preserve"> </w:t>
            </w:r>
            <w:r>
              <w:rPr>
                <w:rFonts w:ascii="Times New Roman;Times;serif" w:hAnsi="Times New Roman;Times;serif"/>
                <w:b w:val="false"/>
                <w:i w:val="false"/>
                <w:caps w:val="false"/>
                <w:smallCaps w:val="false"/>
                <w:sz w:val="20"/>
              </w:rPr>
              <w:t>million at June 30, 2026 and December 31, 2025 and $816</w:t>
            </w:r>
            <w:r>
              <w:rPr>
                <w:caps w:val="false"/>
                <w:smallCaps w:val="false"/>
              </w:rPr>
              <w:t xml:space="preserve"> </w:t>
            </w:r>
            <w:r>
              <w:rPr>
                <w:rFonts w:ascii="Times New Roman;Times;serif" w:hAnsi="Times New Roman;Times;serif"/>
                <w:b w:val="false"/>
                <w:i w:val="false"/>
                <w:caps w:val="false"/>
                <w:smallCaps w:val="false"/>
                <w:sz w:val="20"/>
              </w:rPr>
              <w:t>million at June 30, 2025. The maximum maturity dates are in 2030 at June 30, 2026, December 31, 2025 and June 30, 2025.</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notional amounts of the net investment hedges were </w:t>
            </w:r>
            <w:r>
              <w:rPr>
                <w:caps w:val="false"/>
                <w:smallCaps w:val="false"/>
              </w:rPr>
              <w:t>€</w:t>
            </w:r>
            <w:r>
              <w:rPr>
                <w:rFonts w:ascii="Times New Roman;Times;serif" w:hAnsi="Times New Roman;Times;serif"/>
                <w:b w:val="false"/>
                <w:i w:val="false"/>
                <w:caps w:val="false"/>
                <w:smallCaps w:val="false"/>
                <w:sz w:val="20"/>
              </w:rPr>
              <w:t>1,176</w:t>
            </w:r>
            <w:r>
              <w:rPr>
                <w:caps w:val="false"/>
                <w:smallCaps w:val="false"/>
              </w:rPr>
              <w:t xml:space="preserve"> </w:t>
            </w:r>
            <w:r>
              <w:rPr>
                <w:rFonts w:ascii="Times New Roman;Times;serif" w:hAnsi="Times New Roman;Times;serif"/>
                <w:b w:val="false"/>
                <w:i w:val="false"/>
                <w:caps w:val="false"/>
                <w:smallCaps w:val="false"/>
                <w:sz w:val="20"/>
              </w:rPr>
              <w:t xml:space="preserve">million at June 30, 2026, and December 31, 2025 and </w:t>
            </w:r>
            <w:r>
              <w:rPr>
                <w:caps w:val="false"/>
                <w:smallCaps w:val="false"/>
              </w:rPr>
              <w:t>€</w:t>
            </w:r>
            <w:r>
              <w:rPr>
                <w:rFonts w:ascii="Times New Roman;Times;serif" w:hAnsi="Times New Roman;Times;serif"/>
                <w:b w:val="false"/>
                <w:i w:val="false"/>
                <w:caps w:val="false"/>
                <w:smallCaps w:val="false"/>
                <w:sz w:val="20"/>
              </w:rPr>
              <w:t>844</w:t>
            </w:r>
            <w:r>
              <w:rPr>
                <w:caps w:val="false"/>
                <w:smallCaps w:val="false"/>
              </w:rPr>
              <w:t xml:space="preserve"> </w:t>
            </w:r>
            <w:r>
              <w:rPr>
                <w:rFonts w:ascii="Times New Roman;Times;serif" w:hAnsi="Times New Roman;Times;serif"/>
                <w:b w:val="false"/>
                <w:i w:val="false"/>
                <w:caps w:val="false"/>
                <w:smallCaps w:val="false"/>
                <w:sz w:val="20"/>
              </w:rPr>
              <w:t>million at June 30, 2025. The maximum maturity dates are in 2028 at June 30, 2026, December 31, and at June 30, 2025.</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notional amounts of the foreign exchange derivative contracts were $294</w:t>
            </w:r>
            <w:r>
              <w:rPr>
                <w:caps w:val="false"/>
                <w:smallCaps w:val="false"/>
              </w:rPr>
              <w:t xml:space="preserve"> </w:t>
            </w:r>
            <w:r>
              <w:rPr>
                <w:rFonts w:ascii="Times New Roman;Times;serif" w:hAnsi="Times New Roman;Times;serif"/>
                <w:b w:val="false"/>
                <w:i w:val="false"/>
                <w:caps w:val="false"/>
                <w:smallCaps w:val="false"/>
                <w:sz w:val="20"/>
              </w:rPr>
              <w:t>million, $526</w:t>
            </w:r>
            <w:r>
              <w:rPr>
                <w:caps w:val="false"/>
                <w:smallCaps w:val="false"/>
              </w:rPr>
              <w:t xml:space="preserve"> </w:t>
            </w:r>
            <w:r>
              <w:rPr>
                <w:rFonts w:ascii="Times New Roman;Times;serif" w:hAnsi="Times New Roman;Times;serif"/>
                <w:b w:val="false"/>
                <w:i w:val="false"/>
                <w:caps w:val="false"/>
                <w:smallCaps w:val="false"/>
                <w:sz w:val="20"/>
              </w:rPr>
              <w:t>million and $506</w:t>
            </w:r>
            <w:r>
              <w:rPr>
                <w:caps w:val="false"/>
                <w:smallCaps w:val="false"/>
              </w:rPr>
              <w:t xml:space="preserve"> </w:t>
            </w:r>
            <w:r>
              <w:rPr>
                <w:rFonts w:ascii="Times New Roman;Times;serif" w:hAnsi="Times New Roman;Times;serif"/>
                <w:b w:val="false"/>
                <w:i w:val="false"/>
                <w:caps w:val="false"/>
                <w:smallCaps w:val="false"/>
                <w:sz w:val="20"/>
              </w:rPr>
              <w:t>million at June 30, 2026, December 31, 2025 and June 30, 2025, respectively. The maximum maturity dates are in 2026 at June 30, 2026 and December 31, 2025 and 2025 at June 30, 2025.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87"/>
        <w:gridCol w:w="346"/>
        <w:gridCol w:w="345"/>
        <w:gridCol w:w="683"/>
        <w:gridCol w:w="566"/>
        <w:gridCol w:w="345"/>
        <w:gridCol w:w="683"/>
        <w:gridCol w:w="346"/>
        <w:gridCol w:w="346"/>
        <w:gridCol w:w="543"/>
        <w:gridCol w:w="892"/>
        <w:gridCol w:w="892"/>
        <w:gridCol w:w="543"/>
        <w:gridCol w:w="892"/>
        <w:gridCol w:w="396"/>
      </w:tblGrid>
      <w:tr>
        <w:trPr/>
        <w:tc>
          <w:tcPr>
            <w:tcW w:w="2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15745" cy="175260"/>
                      <wp:effectExtent l="0" t="0" r="0" b="0"/>
                      <wp:wrapNone/>
                      <wp:docPr id="245" name="Frame244"/>
                      <a:graphic xmlns:a="http://schemas.openxmlformats.org/drawingml/2006/main">
                        <a:graphicData uri="http://schemas.microsoft.com/office/word/2010/wordprocessingShape">
                          <wps:wsp>
                            <wps:cNvSpPr txBox="1"/>
                            <wps:spPr>
                              <a:xfrm>
                                <a:off x="0" y="0"/>
                                <a:ext cx="151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075" cy="175260"/>
                      <wp:effectExtent l="0" t="0" r="0" b="0"/>
                      <wp:wrapNone/>
                      <wp:docPr id="247" name="Frame24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33705" cy="175260"/>
                      <wp:effectExtent l="0" t="0" r="0" b="0"/>
                      <wp:wrapNone/>
                      <wp:docPr id="248" name="Frame247"/>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59410" cy="175260"/>
                      <wp:effectExtent l="0" t="0" r="0" b="0"/>
                      <wp:wrapNone/>
                      <wp:docPr id="249" name="Frame248"/>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075" cy="175260"/>
                      <wp:effectExtent l="0" t="0" r="0" b="0"/>
                      <wp:wrapNone/>
                      <wp:docPr id="250" name="Frame24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33705" cy="175260"/>
                      <wp:effectExtent l="0" t="0" r="0" b="0"/>
                      <wp:wrapNone/>
                      <wp:docPr id="251" name="Frame250"/>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44805" cy="175260"/>
                      <wp:effectExtent l="0" t="0" r="0" b="0"/>
                      <wp:wrapNone/>
                      <wp:docPr id="254" name="Frame253"/>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66420" cy="175260"/>
                      <wp:effectExtent l="0" t="0" r="0" b="0"/>
                      <wp:wrapNone/>
                      <wp:docPr id="255" name="Frame254"/>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66420" cy="175260"/>
                      <wp:effectExtent l="0" t="0" r="0" b="0"/>
                      <wp:wrapNone/>
                      <wp:docPr id="256" name="Frame255"/>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44805" cy="175260"/>
                      <wp:effectExtent l="0" t="0" r="0" b="0"/>
                      <wp:wrapNone/>
                      <wp:docPr id="257" name="Frame256"/>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66420" cy="175260"/>
                      <wp:effectExtent l="0" t="0" r="0" b="0"/>
                      <wp:wrapNone/>
                      <wp:docPr id="258" name="Frame257"/>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51460" cy="175260"/>
                      <wp:effectExtent l="0" t="0" r="0" b="0"/>
                      <wp:wrapNone/>
                      <wp:docPr id="259" name="Frame258"/>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Recognized in OCI (Effective Portion)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 from Accumulated OCI into Income (Effective Portion) (1)</w:t>
            </w:r>
          </w:p>
        </w:tc>
        <w:tc>
          <w:tcPr>
            <w:tcW w:w="396" w:type="dxa"/>
            <w:tcBorders/>
            <w:vAlign w:val="center"/>
          </w:tcPr>
          <w:p>
            <w:pPr>
              <w:pStyle w:val="TableContents"/>
              <w:bidi w:val="0"/>
              <w:spacing w:before="0" w:after="0"/>
              <w:ind w:left="0" w:right="0" w:hanging="0"/>
              <w:jc w:val="left"/>
              <w:rPr/>
            </w:pPr>
            <w:r>
              <w:rPr/>
              <w:t>​</w:t>
            </w:r>
          </w:p>
        </w:tc>
      </w:tr>
      <w:tr>
        <w:trPr/>
        <w:tc>
          <w:tcPr>
            <w:tcW w:w="23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96" w:type="dxa"/>
            <w:tcBorders/>
            <w:vAlign w:val="center"/>
          </w:tcPr>
          <w:p>
            <w:pPr>
              <w:pStyle w:val="TableContents"/>
              <w:bidi w:val="0"/>
              <w:spacing w:before="0" w:after="0"/>
              <w:ind w:left="0" w:right="0" w:hanging="0"/>
              <w:jc w:val="left"/>
              <w:rPr/>
            </w:pPr>
            <w:r>
              <w:rPr/>
              <w:t>​</w:t>
            </w:r>
          </w:p>
        </w:tc>
      </w:tr>
      <w:tr>
        <w:trPr/>
        <w:tc>
          <w:tcPr>
            <w:tcW w:w="238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Derivatives designated as hedging instruments:</w:t>
            </w:r>
          </w:p>
        </w:tc>
        <w:tc>
          <w:tcPr>
            <w:tcW w:w="346" w:type="dxa"/>
            <w:tcBorders/>
            <w:vAlign w:val="center"/>
          </w:tcPr>
          <w:p>
            <w:pPr>
              <w:pStyle w:val="TableContents"/>
              <w:bidi w:val="0"/>
              <w:spacing w:before="0" w:after="0"/>
              <w:ind w:left="0" w:right="0" w:hanging="0"/>
              <w:jc w:val="left"/>
              <w:rPr/>
            </w:pPr>
            <w:r>
              <w:rPr/>
              <w:t> </w:t>
            </w:r>
          </w:p>
        </w:tc>
        <w:tc>
          <w:tcPr>
            <w:tcW w:w="10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66" w:type="dxa"/>
            <w:tcBorders/>
            <w:vAlign w:val="center"/>
          </w:tcPr>
          <w:p>
            <w:pPr>
              <w:pStyle w:val="TableContents"/>
              <w:bidi w:val="0"/>
              <w:spacing w:before="0" w:after="0"/>
              <w:ind w:left="0" w:right="0" w:hanging="0"/>
              <w:jc w:val="center"/>
              <w:rPr/>
            </w:pPr>
            <w:r>
              <w:rPr/>
              <w:t>​</w:t>
            </w:r>
          </w:p>
        </w:tc>
        <w:tc>
          <w:tcPr>
            <w:tcW w:w="10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892" w:type="dxa"/>
            <w:tcBorders/>
            <w:vAlign w:val="center"/>
          </w:tcPr>
          <w:p>
            <w:pPr>
              <w:pStyle w:val="TableContents"/>
              <w:bidi w:val="0"/>
              <w:spacing w:before="0" w:after="0"/>
              <w:ind w:left="0" w:right="0" w:hanging="0"/>
              <w:jc w:val="center"/>
              <w:rPr/>
            </w:pPr>
            <w:r>
              <w:rPr/>
              <w:t>​</w:t>
            </w:r>
          </w:p>
        </w:tc>
        <w:tc>
          <w:tcPr>
            <w:tcW w:w="14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6" w:type="dxa"/>
            <w:tcBorders/>
            <w:vAlign w:val="center"/>
          </w:tcPr>
          <w:p>
            <w:pPr>
              <w:pStyle w:val="TableContents"/>
              <w:bidi w:val="0"/>
              <w:spacing w:before="0" w:after="0"/>
              <w:ind w:left="0" w:right="0" w:hanging="0"/>
              <w:jc w:val="center"/>
              <w:rPr/>
            </w:pPr>
            <w:r>
              <w:rPr/>
              <w:t>​</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 Hedges</w:t>
            </w:r>
          </w:p>
        </w:tc>
        <w:tc>
          <w:tcPr>
            <w:tcW w:w="346" w:type="dxa"/>
            <w:tcBorders/>
            <w:shd w:fill="CCEEFF" w:val="clear"/>
            <w:vAlign w:val="center"/>
          </w:tcPr>
          <w:p>
            <w:pPr>
              <w:pStyle w:val="TableContents"/>
              <w:bidi w:val="0"/>
              <w:spacing w:before="0" w:after="0"/>
              <w:ind w:left="0" w:right="0" w:hanging="0"/>
              <w:jc w:val="left"/>
              <w:rPr/>
            </w:pPr>
            <w:r>
              <w:rPr/>
              <w:t>  ​ ​ ​</w:t>
            </w:r>
          </w:p>
        </w:tc>
        <w:tc>
          <w:tcPr>
            <w:tcW w:w="345"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  ​ ​ ​</w:t>
            </w:r>
          </w:p>
        </w:tc>
        <w:tc>
          <w:tcPr>
            <w:tcW w:w="345"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543"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left"/>
              <w:rPr/>
            </w:pPr>
            <w:r>
              <w:rPr/>
              <w:t>  ​ ​ ​</w:t>
            </w:r>
          </w:p>
        </w:tc>
        <w:tc>
          <w:tcPr>
            <w:tcW w:w="543"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  ​ ​ ​</w:t>
            </w:r>
          </w:p>
        </w:tc>
      </w:tr>
      <w:tr>
        <w:trPr/>
        <w:tc>
          <w:tcPr>
            <w:tcW w:w="2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forward contracts and collars (a)</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6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vAlign w:val="center"/>
          </w:tcPr>
          <w:p>
            <w:pPr>
              <w:pStyle w:val="TableContents"/>
              <w:bidi w:val="0"/>
              <w:spacing w:before="0" w:after="0"/>
              <w:ind w:left="0" w:right="0" w:hanging="0"/>
              <w:jc w:val="right"/>
              <w:rPr/>
            </w:pPr>
            <w:r>
              <w:rPr/>
              <w:t>—</w:t>
            </w:r>
          </w:p>
        </w:tc>
        <w:tc>
          <w:tcPr>
            <w:tcW w:w="892"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Investment Hedges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56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c>
          <w:tcPr>
            <w:tcW w:w="892"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c>
          <w:tcPr>
            <w:tcW w:w="396" w:type="dxa"/>
            <w:tcBorders/>
            <w:shd w:fill="CCEEFF" w:val="clear"/>
            <w:vAlign w:val="center"/>
          </w:tcPr>
          <w:p>
            <w:pPr>
              <w:pStyle w:val="TableContents"/>
              <w:bidi w:val="0"/>
              <w:spacing w:before="0" w:after="0"/>
              <w:ind w:left="0" w:right="0" w:hanging="0"/>
              <w:jc w:val="left"/>
              <w:rPr/>
            </w:pPr>
            <w:r>
              <w:rPr/>
              <w:t>​</w:t>
            </w:r>
          </w:p>
        </w:tc>
      </w:tr>
      <w:tr>
        <w:trPr/>
        <w:tc>
          <w:tcPr>
            <w:tcW w:w="2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Investment Hedges (b)</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56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892" w:type="dxa"/>
            <w:tcBorders/>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6" w:type="dxa"/>
            <w:tcBorders/>
            <w:vAlign w:val="center"/>
          </w:tcPr>
          <w:p>
            <w:pPr>
              <w:pStyle w:val="TableContents"/>
              <w:bidi w:val="0"/>
              <w:spacing w:before="0" w:after="0"/>
              <w:ind w:left="0" w:right="0" w:hanging="0"/>
              <w:jc w:val="left"/>
              <w:rPr/>
            </w:pPr>
            <w:r>
              <w:rPr/>
              <w:t>​</w:t>
            </w:r>
          </w:p>
        </w:tc>
      </w:tr>
      <w:tr>
        <w:trPr/>
        <w:tc>
          <w:tcPr>
            <w:tcW w:w="23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56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892" w:type="dxa"/>
            <w:tcBorders/>
            <w:shd w:fill="CCEEFF" w:val="clear"/>
            <w:vAlign w:val="center"/>
          </w:tcPr>
          <w:p>
            <w:pPr>
              <w:pStyle w:val="TableContents"/>
              <w:bidi w:val="0"/>
              <w:spacing w:before="0" w:after="0"/>
              <w:ind w:left="0" w:right="0" w:hanging="0"/>
              <w:jc w:val="left"/>
              <w:rPr/>
            </w:pPr>
            <w:r>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Normal"/>
        <w:bidi w:val="0"/>
        <w:spacing w:before="0" w:after="0"/>
        <w:ind w:left="600" w:right="600" w:hanging="0"/>
        <w:jc w:val="left"/>
        <w:rPr>
          <w:sz w:val="4"/>
          <w:szCs w:val="4"/>
        </w:rPr>
      </w:pPr>
      <w:r>
        <w:rPr>
          <w:sz w:val="4"/>
          <w:szCs w:val="4"/>
        </w:rPr>
      </w:r>
      <w:bookmarkStart w:id="890" w:name="Tc__Y0dG35n20O1o5R3agMh9A_4_12"/>
      <w:bookmarkStart w:id="891" w:name="Tc_8ecCFOYBZ0qjpKA4V54q6A_4_9"/>
      <w:bookmarkStart w:id="892" w:name="Tc_rkPWeJzGl0a4hV7oh7g08A_4_5"/>
      <w:bookmarkStart w:id="893" w:name="Tc_6h4-MVvYE0CPfLXc22lUig_4_2"/>
      <w:bookmarkStart w:id="894" w:name="Tc_Y4hEW7PDSkqYVNTZeDHlhg_4_0"/>
      <w:bookmarkStart w:id="895" w:name="Tc_RWpSPPvloEuPPlXgejYQkg_3_12"/>
      <w:bookmarkStart w:id="896" w:name="Tc_1H4IQvF6pE2mIsAow2xrZQ_3_9"/>
      <w:bookmarkStart w:id="897" w:name="Tc_9uhp8yokVUmhQL6kB6zz8g_3_5"/>
      <w:bookmarkStart w:id="898" w:name="Tc_fmTJgJIuNEi50e-GN-ZQ1Q_3_2"/>
      <w:bookmarkStart w:id="899" w:name="Tc_UfzNs7c5Gki9Bz8ZvAa8_g_3_0"/>
      <w:bookmarkStart w:id="900" w:name="Tc_iHUntFTZl0KE3Ig9ZoiFng_2_9"/>
      <w:bookmarkStart w:id="901" w:name="Tc_FPFKeRTc1EmJo8xaIwv1iw_2_2"/>
      <w:bookmarkStart w:id="902" w:name="Tc_uXsECCB5TE2z7l45siHwTQ_1_9"/>
      <w:bookmarkStart w:id="903" w:name="Tc_rSyDEstSZUeF-mrSJchJKA_1_2"/>
      <w:bookmarkStart w:id="904" w:name="_c9c375d9_7831_4546_a807_5820f8c6f544"/>
      <w:bookmarkStart w:id="905" w:name="Tc_dXlAKYKqUkCmpTBsX2I7uw_8_12"/>
      <w:bookmarkStart w:id="906" w:name="Tc_vxGGm7RohUOY4KJszVmPEA_8_9"/>
      <w:bookmarkStart w:id="907" w:name="Tc_DT6k6XQab0ySRy3wtPBVHA_8_5"/>
      <w:bookmarkStart w:id="908" w:name="Tc_7WYBHRl2Zk-kMkK1T3pSnA_8_2"/>
      <w:bookmarkStart w:id="909" w:name="Tc_xFBPfxHNx0eaEZ4w77oGFw_7_0"/>
      <w:bookmarkStart w:id="910" w:name="Tc_8s40X02QvEiBckM-OcMUqA_6_0"/>
      <w:bookmarkStart w:id="911" w:name="Tc_ezZeN-gPZUKRM7gibun1vQ_5_13"/>
      <w:bookmarkStart w:id="912" w:name="Tc_Qw_LMJpqjEqD7UAS6rAk5Q_5_12"/>
      <w:bookmarkStart w:id="913" w:name="Tc_mCWF1H9TgUi_BmBygEh5LQ_5_10"/>
      <w:bookmarkStart w:id="914" w:name="Tc__stRaaLsyEOicNhHi_IE8A_5_9"/>
      <w:bookmarkStart w:id="915" w:name="Tc_fb9dBnFptkus52tBrPVkVQ_5_5"/>
      <w:bookmarkStart w:id="916" w:name="Tc_-cYvcclbQ0eFtmkaIsdu9Q_5_2"/>
      <w:bookmarkStart w:id="917" w:name="Tc_TINaTE6t_ka7MIeSyWAq8A_5_0"/>
      <w:bookmarkStart w:id="918" w:name="Tc_AfVxQqKgNUe-2IunWatUVA_4_0"/>
      <w:bookmarkStart w:id="919" w:name="Tc_7ms32vAIoEOPlhqZubc6PQ_3_12"/>
      <w:bookmarkStart w:id="920" w:name="Tc_cTprBIgfskS8-aI41RWoXw_3_9"/>
      <w:bookmarkStart w:id="921" w:name="Tc_-lYOH-vVkkOKt74rTwdtsA_3_5"/>
      <w:bookmarkStart w:id="922" w:name="Tc_MXbyFHLav0aniHoD5cdicQ_3_2"/>
      <w:bookmarkStart w:id="923" w:name="Tc_i5B0WlvFi066IMdJRZ1b0g_3_0"/>
      <w:bookmarkStart w:id="924" w:name="Tc_dBFZiJzNLES9oIHLvBZemQ_2_9"/>
      <w:bookmarkStart w:id="925" w:name="Tc_-2d7MGPb0UCVU8_qgDsw-w_2_2"/>
      <w:bookmarkStart w:id="926" w:name="Tc_DeffHHwgWUSe62KR1US2DQ_1_9"/>
      <w:bookmarkStart w:id="927" w:name="Tc_vdclhonlxECZB3dAEqzoKQ_1_2"/>
      <w:bookmarkStart w:id="928" w:name="_3127aeb7_edc5_4184_94c4_34a783cec468"/>
      <w:bookmarkStart w:id="929" w:name="Tc__Y0dG35n20O1o5R3agMh9A_4_12"/>
      <w:bookmarkStart w:id="930" w:name="Tc_8ecCFOYBZ0qjpKA4V54q6A_4_9"/>
      <w:bookmarkStart w:id="931" w:name="Tc_rkPWeJzGl0a4hV7oh7g08A_4_5"/>
      <w:bookmarkStart w:id="932" w:name="Tc_6h4-MVvYE0CPfLXc22lUig_4_2"/>
      <w:bookmarkStart w:id="933" w:name="Tc_Y4hEW7PDSkqYVNTZeDHlhg_4_0"/>
      <w:bookmarkStart w:id="934" w:name="Tc_RWpSPPvloEuPPlXgejYQkg_3_12"/>
      <w:bookmarkStart w:id="935" w:name="Tc_1H4IQvF6pE2mIsAow2xrZQ_3_9"/>
      <w:bookmarkStart w:id="936" w:name="Tc_9uhp8yokVUmhQL6kB6zz8g_3_5"/>
      <w:bookmarkStart w:id="937" w:name="Tc_fmTJgJIuNEi50e-GN-ZQ1Q_3_2"/>
      <w:bookmarkStart w:id="938" w:name="Tc_UfzNs7c5Gki9Bz8ZvAa8_g_3_0"/>
      <w:bookmarkStart w:id="939" w:name="Tc_iHUntFTZl0KE3Ig9ZoiFng_2_9"/>
      <w:bookmarkStart w:id="940" w:name="Tc_FPFKeRTc1EmJo8xaIwv1iw_2_2"/>
      <w:bookmarkStart w:id="941" w:name="Tc_uXsECCB5TE2z7l45siHwTQ_1_9"/>
      <w:bookmarkStart w:id="942" w:name="Tc_rSyDEstSZUeF-mrSJchJKA_1_2"/>
      <w:bookmarkStart w:id="943" w:name="_c9c375d9_7831_4546_a807_5820f8c6f544"/>
      <w:bookmarkStart w:id="944" w:name="Tc_dXlAKYKqUkCmpTBsX2I7uw_8_12"/>
      <w:bookmarkStart w:id="945" w:name="Tc_vxGGm7RohUOY4KJszVmPEA_8_9"/>
      <w:bookmarkStart w:id="946" w:name="Tc_DT6k6XQab0ySRy3wtPBVHA_8_5"/>
      <w:bookmarkStart w:id="947" w:name="Tc_7WYBHRl2Zk-kMkK1T3pSnA_8_2"/>
      <w:bookmarkStart w:id="948" w:name="Tc_xFBPfxHNx0eaEZ4w77oGFw_7_0"/>
      <w:bookmarkStart w:id="949" w:name="Tc_8s40X02QvEiBckM-OcMUqA_6_0"/>
      <w:bookmarkStart w:id="950" w:name="Tc_ezZeN-gPZUKRM7gibun1vQ_5_13"/>
      <w:bookmarkStart w:id="951" w:name="Tc_Qw_LMJpqjEqD7UAS6rAk5Q_5_12"/>
      <w:bookmarkStart w:id="952" w:name="Tc_mCWF1H9TgUi_BmBygEh5LQ_5_10"/>
      <w:bookmarkStart w:id="953" w:name="Tc__stRaaLsyEOicNhHi_IE8A_5_9"/>
      <w:bookmarkStart w:id="954" w:name="Tc_fb9dBnFptkus52tBrPVkVQ_5_5"/>
      <w:bookmarkStart w:id="955" w:name="Tc_-cYvcclbQ0eFtmkaIsdu9Q_5_2"/>
      <w:bookmarkStart w:id="956" w:name="Tc_TINaTE6t_ka7MIeSyWAq8A_5_0"/>
      <w:bookmarkStart w:id="957" w:name="Tc_AfVxQqKgNUe-2IunWatUVA_4_0"/>
      <w:bookmarkStart w:id="958" w:name="Tc_7ms32vAIoEOPlhqZubc6PQ_3_12"/>
      <w:bookmarkStart w:id="959" w:name="Tc_cTprBIgfskS8-aI41RWoXw_3_9"/>
      <w:bookmarkStart w:id="960" w:name="Tc_-lYOH-vVkkOKt74rTwdtsA_3_5"/>
      <w:bookmarkStart w:id="961" w:name="Tc_MXbyFHLav0aniHoD5cdicQ_3_2"/>
      <w:bookmarkStart w:id="962" w:name="Tc_i5B0WlvFi066IMdJRZ1b0g_3_0"/>
      <w:bookmarkStart w:id="963" w:name="Tc_dBFZiJzNLES9oIHLvBZemQ_2_9"/>
      <w:bookmarkStart w:id="964" w:name="Tc_-2d7MGPb0UCVU8_qgDsw-w_2_2"/>
      <w:bookmarkStart w:id="965" w:name="Tc_DeffHHwgWUSe62KR1US2DQ_1_9"/>
      <w:bookmarkStart w:id="966" w:name="Tc_vdclhonlxECZB3dAEqzoKQ_1_2"/>
      <w:bookmarkStart w:id="967" w:name="_3127aeb7_edc5_4184_94c4_34a783cec46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p>
    <w:tbl>
      <w:tblPr>
        <w:tblW w:w="10205" w:type="dxa"/>
        <w:jc w:val="left"/>
        <w:tblInd w:w="0" w:type="dxa"/>
        <w:tblLayout w:type="fixed"/>
        <w:tblCellMar>
          <w:top w:w="0" w:type="dxa"/>
          <w:left w:w="0" w:type="dxa"/>
          <w:bottom w:w="0" w:type="dxa"/>
          <w:right w:w="0" w:type="dxa"/>
        </w:tblCellMar>
      </w:tblPr>
      <w:tblGrid>
        <w:gridCol w:w="2372"/>
        <w:gridCol w:w="346"/>
        <w:gridCol w:w="329"/>
        <w:gridCol w:w="650"/>
        <w:gridCol w:w="540"/>
        <w:gridCol w:w="329"/>
        <w:gridCol w:w="814"/>
        <w:gridCol w:w="346"/>
        <w:gridCol w:w="346"/>
        <w:gridCol w:w="540"/>
        <w:gridCol w:w="886"/>
        <w:gridCol w:w="886"/>
        <w:gridCol w:w="540"/>
        <w:gridCol w:w="886"/>
        <w:gridCol w:w="395"/>
      </w:tblGrid>
      <w:tr>
        <w:trPr/>
        <w:tc>
          <w:tcPr>
            <w:tcW w:w="2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506220" cy="175260"/>
                      <wp:effectExtent l="0" t="0" r="0" b="0"/>
                      <wp:wrapNone/>
                      <wp:docPr id="260" name="Frame259"/>
                      <a:graphic xmlns:a="http://schemas.openxmlformats.org/drawingml/2006/main">
                        <a:graphicData uri="http://schemas.microsoft.com/office/word/2010/wordprocessingShape">
                          <wps:wsp>
                            <wps:cNvSpPr txBox="1"/>
                            <wps:spPr>
                              <a:xfrm>
                                <a:off x="0" y="0"/>
                                <a:ext cx="150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8915" cy="175260"/>
                      <wp:effectExtent l="0" t="0" r="0" b="0"/>
                      <wp:wrapNone/>
                      <wp:docPr id="262" name="Frame261"/>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12750" cy="175260"/>
                      <wp:effectExtent l="0" t="0" r="0" b="0"/>
                      <wp:wrapNone/>
                      <wp:docPr id="263" name="Frame262"/>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42900" cy="175260"/>
                      <wp:effectExtent l="0" t="0" r="0" b="0"/>
                      <wp:wrapNone/>
                      <wp:docPr id="264" name="Frame26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8915" cy="175260"/>
                      <wp:effectExtent l="0" t="0" r="0" b="0"/>
                      <wp:wrapNone/>
                      <wp:docPr id="265" name="Frame26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16890" cy="175260"/>
                      <wp:effectExtent l="0" t="0" r="0" b="0"/>
                      <wp:wrapNone/>
                      <wp:docPr id="266" name="Frame265"/>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42900" cy="175260"/>
                      <wp:effectExtent l="0" t="0" r="0" b="0"/>
                      <wp:wrapNone/>
                      <wp:docPr id="269" name="Frame26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62610" cy="175260"/>
                      <wp:effectExtent l="0" t="0" r="0" b="0"/>
                      <wp:wrapNone/>
                      <wp:docPr id="270" name="Frame2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62610" cy="175260"/>
                      <wp:effectExtent l="0" t="0" r="0" b="0"/>
                      <wp:wrapNone/>
                      <wp:docPr id="271" name="Frame2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42900" cy="175260"/>
                      <wp:effectExtent l="0" t="0" r="0" b="0"/>
                      <wp:wrapNone/>
                      <wp:docPr id="272" name="Frame27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62610" cy="175260"/>
                      <wp:effectExtent l="0" t="0" r="0" b="0"/>
                      <wp:wrapNone/>
                      <wp:docPr id="273" name="Frame2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50825" cy="175260"/>
                      <wp:effectExtent l="0" t="0" r="0" b="0"/>
                      <wp:wrapNone/>
                      <wp:docPr id="274" name="Frame273"/>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Recognized in OCI (Effective Portion)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 from Accumulated OCI into Income (Effective Portion) (1)</w:t>
            </w:r>
          </w:p>
        </w:tc>
        <w:tc>
          <w:tcPr>
            <w:tcW w:w="395" w:type="dxa"/>
            <w:tcBorders/>
            <w:vAlign w:val="center"/>
          </w:tcPr>
          <w:p>
            <w:pPr>
              <w:pStyle w:val="TableContents"/>
              <w:bidi w:val="0"/>
              <w:spacing w:before="0" w:after="0"/>
              <w:ind w:left="0" w:right="0" w:hanging="0"/>
              <w:jc w:val="left"/>
              <w:rPr/>
            </w:pPr>
            <w:r>
              <w:rPr/>
              <w:t>​</w:t>
            </w:r>
          </w:p>
        </w:tc>
      </w:tr>
      <w:tr>
        <w:trPr/>
        <w:tc>
          <w:tcPr>
            <w:tcW w:w="23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95" w:type="dxa"/>
            <w:tcBorders/>
            <w:vAlign w:val="center"/>
          </w:tcPr>
          <w:p>
            <w:pPr>
              <w:pStyle w:val="TableContents"/>
              <w:bidi w:val="0"/>
              <w:spacing w:before="0" w:after="0"/>
              <w:ind w:left="0" w:right="0" w:hanging="0"/>
              <w:jc w:val="left"/>
              <w:rPr/>
            </w:pPr>
            <w:r>
              <w:rPr/>
              <w:t>​</w:t>
            </w:r>
          </w:p>
        </w:tc>
      </w:tr>
      <w:tr>
        <w:trPr/>
        <w:tc>
          <w:tcPr>
            <w:tcW w:w="237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Derivatives designated as hedging instruments:</w:t>
            </w:r>
          </w:p>
        </w:tc>
        <w:tc>
          <w:tcPr>
            <w:tcW w:w="346" w:type="dxa"/>
            <w:tcBorders/>
            <w:vAlign w:val="center"/>
          </w:tcPr>
          <w:p>
            <w:pPr>
              <w:pStyle w:val="TableContents"/>
              <w:bidi w:val="0"/>
              <w:spacing w:before="0" w:after="0"/>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40" w:type="dxa"/>
            <w:tcBorders/>
            <w:vAlign w:val="center"/>
          </w:tcPr>
          <w:p>
            <w:pPr>
              <w:pStyle w:val="TableContents"/>
              <w:bidi w:val="0"/>
              <w:spacing w:before="0" w:after="0"/>
              <w:ind w:left="0" w:right="0" w:hanging="0"/>
              <w:jc w:val="center"/>
              <w:rPr/>
            </w:pPr>
            <w:r>
              <w:rPr/>
              <w:t>​</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886" w:type="dxa"/>
            <w:tcBorders/>
            <w:vAlign w:val="center"/>
          </w:tcPr>
          <w:p>
            <w:pPr>
              <w:pStyle w:val="TableContents"/>
              <w:bidi w:val="0"/>
              <w:spacing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5" w:type="dxa"/>
            <w:tcBorders/>
            <w:vAlign w:val="center"/>
          </w:tcPr>
          <w:p>
            <w:pPr>
              <w:pStyle w:val="TableContents"/>
              <w:bidi w:val="0"/>
              <w:spacing w:before="0" w:after="0"/>
              <w:ind w:left="0" w:right="0" w:hanging="0"/>
              <w:jc w:val="center"/>
              <w:rPr/>
            </w:pPr>
            <w:r>
              <w:rPr/>
              <w:t>​</w:t>
            </w:r>
          </w:p>
        </w:tc>
      </w:tr>
      <w:tr>
        <w:trPr/>
        <w:tc>
          <w:tcPr>
            <w:tcW w:w="237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 Hedges</w:t>
            </w:r>
          </w:p>
        </w:tc>
        <w:tc>
          <w:tcPr>
            <w:tcW w:w="346" w:type="dxa"/>
            <w:tcBorders/>
            <w:shd w:fill="CCEEFF" w:val="clear"/>
            <w:vAlign w:val="center"/>
          </w:tcPr>
          <w:p>
            <w:pPr>
              <w:pStyle w:val="TableContents"/>
              <w:bidi w:val="0"/>
              <w:spacing w:before="0" w:after="0"/>
              <w:ind w:left="0" w:right="0" w:hanging="0"/>
              <w:jc w:val="left"/>
              <w:rPr/>
            </w:pPr>
            <w:r>
              <w:rPr/>
              <w:t>  ​ ​ ​</w:t>
            </w:r>
          </w:p>
        </w:tc>
        <w:tc>
          <w:tcPr>
            <w:tcW w:w="329"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left"/>
              <w:rPr/>
            </w:pPr>
            <w:r>
              <w:rPr/>
              <w:t>​</w:t>
            </w:r>
          </w:p>
        </w:tc>
        <w:tc>
          <w:tcPr>
            <w:tcW w:w="540" w:type="dxa"/>
            <w:tcBorders/>
            <w:shd w:fill="CCEEFF" w:val="clear"/>
            <w:vAlign w:val="center"/>
          </w:tcPr>
          <w:p>
            <w:pPr>
              <w:pStyle w:val="TableContents"/>
              <w:bidi w:val="0"/>
              <w:spacing w:before="0" w:after="0"/>
              <w:ind w:left="0" w:right="0" w:hanging="0"/>
              <w:jc w:val="left"/>
              <w:rPr/>
            </w:pPr>
            <w:r>
              <w:rPr/>
              <w:t>  ​ ​ ​</w:t>
            </w:r>
          </w:p>
        </w:tc>
        <w:tc>
          <w:tcPr>
            <w:tcW w:w="329"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540"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  ​ ​ ​</w:t>
            </w:r>
          </w:p>
        </w:tc>
        <w:tc>
          <w:tcPr>
            <w:tcW w:w="540"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  ​ ​ ​</w:t>
            </w:r>
          </w:p>
        </w:tc>
      </w:tr>
      <w:tr>
        <w:trPr/>
        <w:tc>
          <w:tcPr>
            <w:tcW w:w="2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forward contracts and collars (a)</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40"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pPr>
            <w:r>
              <w:rPr/>
              <w:t>—</w:t>
            </w:r>
          </w:p>
        </w:tc>
        <w:tc>
          <w:tcPr>
            <w:tcW w:w="395" w:type="dxa"/>
            <w:tcBorders/>
            <w:vAlign w:val="center"/>
          </w:tcPr>
          <w:p>
            <w:pPr>
              <w:pStyle w:val="TableContents"/>
              <w:bidi w:val="0"/>
              <w:spacing w:before="0" w:after="0"/>
              <w:ind w:left="0" w:right="0" w:hanging="0"/>
              <w:jc w:val="left"/>
              <w:rPr/>
            </w:pPr>
            <w:r>
              <w:rPr/>
              <w:t>​</w:t>
            </w:r>
          </w:p>
        </w:tc>
      </w:tr>
      <w:tr>
        <w:trPr/>
        <w:tc>
          <w:tcPr>
            <w:tcW w:w="237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Investment Hedges</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540"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0"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540"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2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Investment Hedges (b)</w:t>
            </w:r>
          </w:p>
        </w:tc>
        <w:tc>
          <w:tcPr>
            <w:tcW w:w="34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540"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886" w:type="dxa"/>
            <w:tcBorders/>
            <w:vAlign w:val="center"/>
          </w:tcPr>
          <w:p>
            <w:pPr>
              <w:pStyle w:val="TableContents"/>
              <w:bidi w:val="0"/>
              <w:spacing w:before="0" w:after="0"/>
              <w:ind w:left="0" w:right="0" w:hanging="0"/>
              <w:jc w:val="left"/>
              <w:rPr/>
            </w:pPr>
            <w:r>
              <w:rPr/>
              <w:t>​</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5" w:type="dxa"/>
            <w:tcBorders/>
            <w:vAlign w:val="center"/>
          </w:tcPr>
          <w:p>
            <w:pPr>
              <w:pStyle w:val="TableContents"/>
              <w:bidi w:val="0"/>
              <w:spacing w:before="0" w:after="0"/>
              <w:ind w:left="0" w:right="0" w:hanging="0"/>
              <w:jc w:val="left"/>
              <w:rPr/>
            </w:pPr>
            <w:r>
              <w:rPr/>
              <w:t>​</w:t>
            </w:r>
          </w:p>
        </w:tc>
      </w:tr>
      <w:tr>
        <w:trPr/>
        <w:tc>
          <w:tcPr>
            <w:tcW w:w="23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540"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886" w:type="dxa"/>
            <w:tcBorders/>
            <w:shd w:fill="CCEEFF" w:val="clear"/>
            <w:vAlign w:val="center"/>
          </w:tcPr>
          <w:p>
            <w:pPr>
              <w:pStyle w:val="TableContents"/>
              <w:bidi w:val="0"/>
              <w:spacing w:before="0" w:after="0"/>
              <w:ind w:left="0" w:right="0" w:hanging="0"/>
              <w:jc w:val="left"/>
              <w:rPr/>
            </w:pPr>
            <w:r>
              <w:rPr/>
              <w:t>​</w:t>
            </w:r>
          </w:p>
        </w:tc>
        <w:tc>
          <w:tcPr>
            <w:tcW w:w="5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61"/>
        <w:gridCol w:w="346"/>
        <w:gridCol w:w="526"/>
        <w:gridCol w:w="678"/>
        <w:gridCol w:w="866"/>
        <w:gridCol w:w="526"/>
        <w:gridCol w:w="795"/>
        <w:gridCol w:w="346"/>
        <w:gridCol w:w="109"/>
        <w:gridCol w:w="640"/>
        <w:gridCol w:w="822"/>
        <w:gridCol w:w="329"/>
        <w:gridCol w:w="640"/>
        <w:gridCol w:w="962"/>
        <w:gridCol w:w="159"/>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562735" cy="175260"/>
                      <wp:effectExtent l="0" t="0" r="0" b="0"/>
                      <wp:wrapNone/>
                      <wp:docPr id="275" name="Frame274"/>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34010" cy="175260"/>
                      <wp:effectExtent l="0" t="0" r="0" b="0"/>
                      <wp:wrapNone/>
                      <wp:docPr id="277" name="Frame27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30530" cy="175260"/>
                      <wp:effectExtent l="0" t="0" r="0" b="0"/>
                      <wp:wrapNone/>
                      <wp:docPr id="278" name="Frame277"/>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49910" cy="175260"/>
                      <wp:effectExtent l="0" t="0" r="0" b="0"/>
                      <wp:wrapNone/>
                      <wp:docPr id="279" name="Frame278"/>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34010" cy="175260"/>
                      <wp:effectExtent l="0" t="0" r="0" b="0"/>
                      <wp:wrapNone/>
                      <wp:docPr id="280" name="Frame27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04825" cy="175260"/>
                      <wp:effectExtent l="0" t="0" r="0" b="0"/>
                      <wp:wrapNone/>
                      <wp:docPr id="281" name="Frame280"/>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06400" cy="175260"/>
                      <wp:effectExtent l="0" t="0" r="0" b="0"/>
                      <wp:wrapNone/>
                      <wp:docPr id="284" name="Frame283"/>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21970" cy="175260"/>
                      <wp:effectExtent l="0" t="0" r="0" b="0"/>
                      <wp:wrapNone/>
                      <wp:docPr id="285" name="Frame284"/>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8915" cy="175260"/>
                      <wp:effectExtent l="0" t="0" r="0" b="0"/>
                      <wp:wrapNone/>
                      <wp:docPr id="286" name="Frame285"/>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06400" cy="175260"/>
                      <wp:effectExtent l="0" t="0" r="0" b="0"/>
                      <wp:wrapNone/>
                      <wp:docPr id="287" name="Frame286"/>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10870" cy="175260"/>
                      <wp:effectExtent l="0" t="0" r="0" b="0"/>
                      <wp:wrapNone/>
                      <wp:docPr id="288" name="Frame28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00965" cy="175260"/>
                      <wp:effectExtent l="0" t="0" r="0" b="0"/>
                      <wp:wrapNone/>
                      <wp:docPr id="289" name="Frame288"/>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 (Loss) Recognized in Other expense, net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 (Loss) Recognized in Other expense, net</w:t>
            </w:r>
          </w:p>
        </w:tc>
        <w:tc>
          <w:tcPr>
            <w:tcW w:w="159"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9"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Derivatives not designated as hedges:</w:t>
            </w:r>
          </w:p>
        </w:tc>
        <w:tc>
          <w:tcPr>
            <w:tcW w:w="346" w:type="dxa"/>
            <w:tcBorders/>
            <w:vAlign w:val="center"/>
          </w:tcPr>
          <w:p>
            <w:pPr>
              <w:pStyle w:val="TableContents"/>
              <w:bidi w:val="0"/>
              <w:spacing w:before="0" w:after="0"/>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866" w:type="dxa"/>
            <w:tcBorders/>
            <w:vAlign w:val="center"/>
          </w:tcPr>
          <w:p>
            <w:pPr>
              <w:pStyle w:val="TableContents"/>
              <w:bidi w:val="0"/>
              <w:spacing w:before="0" w:after="0"/>
              <w:ind w:left="0" w:right="0" w:hanging="0"/>
              <w:jc w:val="left"/>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9" w:type="dxa"/>
            <w:tcBorders/>
            <w:vAlign w:val="center"/>
          </w:tcPr>
          <w:p>
            <w:pPr>
              <w:pStyle w:val="TableContents"/>
              <w:bidi w:val="0"/>
              <w:spacing w:before="0" w:after="0"/>
              <w:ind w:left="0" w:right="0" w:hanging="0"/>
              <w:jc w:val="left"/>
              <w:rPr/>
            </w:pPr>
            <w:r>
              <w:rPr/>
              <w:t>​</w:t>
            </w:r>
          </w:p>
        </w:tc>
        <w:tc>
          <w:tcPr>
            <w:tcW w:w="1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9" w:type="dxa"/>
            <w:tcBorders/>
            <w:vAlign w:val="center"/>
          </w:tcPr>
          <w:p>
            <w:pPr>
              <w:pStyle w:val="TableContents"/>
              <w:bidi w:val="0"/>
              <w:spacing w:before="0" w:after="0"/>
              <w:ind w:left="0" w:right="0" w:hanging="0"/>
              <w:jc w:val="lef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derivative contracts</w:t>
            </w:r>
          </w:p>
        </w:tc>
        <w:tc>
          <w:tcPr>
            <w:tcW w:w="346" w:type="dxa"/>
            <w:tcBorders/>
            <w:shd w:fill="CCEEFF" w:val="clear"/>
            <w:vAlign w:val="center"/>
          </w:tcPr>
          <w:p>
            <w:pPr>
              <w:pStyle w:val="TableContents"/>
              <w:bidi w:val="0"/>
              <w:spacing w:before="0" w:after="0"/>
              <w:ind w:left="0" w:right="0" w:hanging="0"/>
              <w:jc w:val="left"/>
              <w:rPr/>
            </w:pPr>
            <w:r>
              <w:rPr/>
              <w:t>  ​ ​ ​</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866" w:type="dxa"/>
            <w:tcBorders/>
            <w:shd w:fill="CCEEFF" w:val="clear"/>
            <w:vAlign w:val="center"/>
          </w:tcPr>
          <w:p>
            <w:pPr>
              <w:pStyle w:val="TableContents"/>
              <w:bidi w:val="0"/>
              <w:spacing w:before="0" w:after="0"/>
              <w:ind w:left="0" w:right="0" w:hanging="0"/>
              <w:jc w:val="left"/>
              <w:rPr/>
            </w:pPr>
            <w:r>
              <w:rPr/>
              <w:t>  ​ ​ ​</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  ​ ​ ​</w:t>
            </w:r>
          </w:p>
        </w:tc>
        <w:tc>
          <w:tcPr>
            <w:tcW w:w="109"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9" w:type="dxa"/>
            <w:tcBorders/>
            <w:shd w:fill="CCEEFF" w:val="clear"/>
            <w:vAlign w:val="center"/>
          </w:tcPr>
          <w:p>
            <w:pPr>
              <w:pStyle w:val="TableContents"/>
              <w:bidi w:val="0"/>
              <w:spacing w:before="0" w:after="0"/>
              <w:ind w:left="0" w:right="0" w:hanging="0"/>
              <w:jc w:val="right"/>
              <w:rPr/>
            </w:pPr>
            <w:r>
              <w:rPr/>
              <w:t>​</w:t>
            </w:r>
          </w:p>
        </w:tc>
        <w:tc>
          <w:tcPr>
            <w:tcW w:w="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Gains and losses reclassified from Accumulated OCI and recognized in income are recorded to (a) cost of goods sold or (b) interest expense, net.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68" w:name="Tc_SKcQa5X5pE-TZ-zp28Q0vw_9_11"/>
      <w:bookmarkStart w:id="969" w:name="Tc_zJiwBNSde0qJjra9pAGNKQ_9_8"/>
      <w:bookmarkStart w:id="970" w:name="Tc_uk90UdROxEqwXMBgBLUnsQ_9_6"/>
      <w:bookmarkStart w:id="971" w:name="Tc_A8K6WJ-TdEKjD8hgtHfRJQ_9_5"/>
      <w:bookmarkStart w:id="972" w:name="Tc_ZBQW87VmVEG-2IImeom3aQ_9_2"/>
      <w:bookmarkStart w:id="973" w:name="Tc_hf-PbT_1zU-RSK3IFsNxtA_9_0"/>
      <w:bookmarkStart w:id="974" w:name="Tc_EyRTkiZtd0aLAMB098L0Eg_8_0"/>
      <w:bookmarkStart w:id="975" w:name="Tc_o6xfvnmWL0i1_fAsJwx89g_7_0"/>
      <w:bookmarkStart w:id="976" w:name="Tc_45KAu6un8Ea1E63u3UUNjQ_6_0"/>
      <w:bookmarkStart w:id="977" w:name="Tc_gyMsfp55f0eUSZ33NLJwSg_5_0"/>
      <w:bookmarkStart w:id="978" w:name="Tc_tqV4XDbXdU-gRxq-ZeNI2Q_4_11"/>
      <w:bookmarkStart w:id="979" w:name="Tc_3-4IiHrk1E-lfbS6N5wNBA_4_8"/>
      <w:bookmarkStart w:id="980" w:name="Tc_ODhHUGWOW0m7BujTxrbK4A_4_6"/>
      <w:bookmarkStart w:id="981" w:name="Tc_hRvmE-mB90aPhKJLOnQyWw_4_5"/>
      <w:bookmarkStart w:id="982" w:name="Tc_J8kyhT8fV0qvbdIdrM8o0w_4_2"/>
      <w:bookmarkStart w:id="983" w:name="Tc_G02KOVgudkqL2zwpiQQ5kA_4_0"/>
      <w:bookmarkStart w:id="984" w:name="Tc__4mCWfP_Q0aiHb3l6S9-2w_3_11"/>
      <w:bookmarkStart w:id="985" w:name="Tc_Yss8NK6ZPkWA5Du2yB9DqA_3_8"/>
      <w:bookmarkStart w:id="986" w:name="Tc_n26xjzsYKkGIz7jIgR3j1w_3_5"/>
      <w:bookmarkStart w:id="987" w:name="Tc_cXeApm7MCUG6etpNl9UZ4g_3_2"/>
      <w:bookmarkStart w:id="988" w:name="Tc_IQPnLZCOIkGuq263E-FDkQ_2_11"/>
      <w:bookmarkStart w:id="989" w:name="Tc_syD6assBak2jbqV-6zgqyA_2_8"/>
      <w:bookmarkStart w:id="990" w:name="Tc_2-vyWrR6P0OTH9eRjslD6Q_2_5"/>
      <w:bookmarkStart w:id="991" w:name="Tc_ldMgkAv9-k2vH3rat01DCQ_2_2"/>
      <w:bookmarkStart w:id="992" w:name="Tc_kEZ75RqMV0Gk1aAPDXHIWQ_1_3"/>
      <w:bookmarkStart w:id="993" w:name="_32613935_12ed_442f_9a0c_28e5576e0810"/>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r>
        <w:rPr>
          <w:rFonts w:ascii="Times New Roman;Times;serif" w:hAnsi="Times New Roman;Times;serif"/>
          <w:b/>
          <w:sz w:val="20"/>
        </w:rPr>
        <w:t>7. Restructuring Accruals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Selected information related to the restructuring accruals for the three months ended June 30, 2026 and 2025 is as follows:</w:t>
      </w:r>
    </w:p>
    <w:p>
      <w:pPr>
        <w:pStyle w:val="TextBody"/>
        <w:bidi w:val="0"/>
        <w:spacing w:before="0" w:after="0"/>
        <w:ind w:left="0" w:right="0" w:hanging="0"/>
        <w:jc w:val="left"/>
        <w:rPr/>
      </w:pPr>
      <w:r>
        <w:rPr/>
        <w:t>​</w:t>
      </w:r>
    </w:p>
    <w:tbl>
      <w:tblPr>
        <w:tblW w:w="9877" w:type="dxa"/>
        <w:jc w:val="left"/>
        <w:tblInd w:w="0" w:type="dxa"/>
        <w:tblLayout w:type="fixed"/>
        <w:tblCellMar>
          <w:top w:w="0" w:type="dxa"/>
          <w:left w:w="0" w:type="dxa"/>
          <w:bottom w:w="0" w:type="dxa"/>
          <w:right w:w="0" w:type="dxa"/>
        </w:tblCellMar>
      </w:tblPr>
      <w:tblGrid>
        <w:gridCol w:w="4681"/>
        <w:gridCol w:w="346"/>
        <w:gridCol w:w="270"/>
        <w:gridCol w:w="541"/>
        <w:gridCol w:w="346"/>
        <w:gridCol w:w="381"/>
        <w:gridCol w:w="624"/>
        <w:gridCol w:w="346"/>
        <w:gridCol w:w="274"/>
        <w:gridCol w:w="566"/>
        <w:gridCol w:w="346"/>
        <w:gridCol w:w="330"/>
        <w:gridCol w:w="826"/>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972435" cy="175895"/>
                      <wp:effectExtent l="0" t="0" r="0" b="0"/>
                      <wp:wrapNone/>
                      <wp:docPr id="290" name="Frame289"/>
                      <a:graphic xmlns:a="http://schemas.openxmlformats.org/drawingml/2006/main">
                        <a:graphicData uri="http://schemas.microsoft.com/office/word/2010/wordprocessingShape">
                          <wps:wsp>
                            <wps:cNvSpPr txBox="1"/>
                            <wps:spPr>
                              <a:xfrm>
                                <a:off x="0" y="0"/>
                                <a:ext cx="29724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895"/>
                      <wp:effectExtent l="0" t="0" r="0" b="0"/>
                      <wp:wrapNone/>
                      <wp:docPr id="291" name="Frame29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71450" cy="175895"/>
                      <wp:effectExtent l="0" t="0" r="0" b="0"/>
                      <wp:wrapNone/>
                      <wp:docPr id="292" name="Frame291"/>
                      <a:graphic xmlns:a="http://schemas.openxmlformats.org/drawingml/2006/main">
                        <a:graphicData uri="http://schemas.microsoft.com/office/word/2010/wordprocessingShape">
                          <wps:wsp>
                            <wps:cNvSpPr txBox="1"/>
                            <wps:spPr>
                              <a:xfrm>
                                <a:off x="0" y="0"/>
                                <a:ext cx="17145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43535" cy="175895"/>
                      <wp:effectExtent l="0" t="0" r="0" b="0"/>
                      <wp:wrapNone/>
                      <wp:docPr id="293" name="Frame292"/>
                      <a:graphic xmlns:a="http://schemas.openxmlformats.org/drawingml/2006/main">
                        <a:graphicData uri="http://schemas.microsoft.com/office/word/2010/wordprocessingShape">
                          <wps:wsp>
                            <wps:cNvSpPr txBox="1"/>
                            <wps:spPr>
                              <a:xfrm>
                                <a:off x="0" y="0"/>
                                <a:ext cx="3435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895"/>
                      <wp:effectExtent l="0" t="0" r="0" b="0"/>
                      <wp:wrapNone/>
                      <wp:docPr id="294" name="Frame29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41935" cy="175895"/>
                      <wp:effectExtent l="0" t="0" r="0" b="0"/>
                      <wp:wrapNone/>
                      <wp:docPr id="295" name="Frame294"/>
                      <a:graphic xmlns:a="http://schemas.openxmlformats.org/drawingml/2006/main">
                        <a:graphicData uri="http://schemas.microsoft.com/office/word/2010/wordprocessingShape">
                          <wps:wsp>
                            <wps:cNvSpPr txBox="1"/>
                            <wps:spPr>
                              <a:xfrm>
                                <a:off x="0" y="0"/>
                                <a:ext cx="2419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96240" cy="175895"/>
                      <wp:effectExtent l="0" t="0" r="0" b="0"/>
                      <wp:wrapNone/>
                      <wp:docPr id="296" name="Frame295"/>
                      <a:graphic xmlns:a="http://schemas.openxmlformats.org/drawingml/2006/main">
                        <a:graphicData uri="http://schemas.microsoft.com/office/word/2010/wordprocessingShape">
                          <wps:wsp>
                            <wps:cNvSpPr txBox="1"/>
                            <wps:spPr>
                              <a:xfrm>
                                <a:off x="0" y="0"/>
                                <a:ext cx="39624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895"/>
                      <wp:effectExtent l="0" t="0" r="0" b="0"/>
                      <wp:wrapNone/>
                      <wp:docPr id="297" name="Frame29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73990" cy="175895"/>
                      <wp:effectExtent l="0" t="0" r="0" b="0"/>
                      <wp:wrapNone/>
                      <wp:docPr id="298" name="Frame297"/>
                      <a:graphic xmlns:a="http://schemas.openxmlformats.org/drawingml/2006/main">
                        <a:graphicData uri="http://schemas.microsoft.com/office/word/2010/wordprocessingShape">
                          <wps:wsp>
                            <wps:cNvSpPr txBox="1"/>
                            <wps:spPr>
                              <a:xfrm>
                                <a:off x="0" y="0"/>
                                <a:ext cx="17399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59410" cy="175895"/>
                      <wp:effectExtent l="0" t="0" r="0" b="0"/>
                      <wp:wrapNone/>
                      <wp:docPr id="299" name="Frame298"/>
                      <a:graphic xmlns:a="http://schemas.openxmlformats.org/drawingml/2006/main">
                        <a:graphicData uri="http://schemas.microsoft.com/office/word/2010/wordprocessingShape">
                          <wps:wsp>
                            <wps:cNvSpPr txBox="1"/>
                            <wps:spPr>
                              <a:xfrm>
                                <a:off x="0" y="0"/>
                                <a:ext cx="3594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895"/>
                      <wp:effectExtent l="0" t="0" r="0" b="0"/>
                      <wp:wrapNone/>
                      <wp:docPr id="300" name="Frame29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9550" cy="175895"/>
                      <wp:effectExtent l="0" t="0" r="0" b="0"/>
                      <wp:wrapNone/>
                      <wp:docPr id="301" name="Frame300"/>
                      <a:graphic xmlns:a="http://schemas.openxmlformats.org/drawingml/2006/main">
                        <a:graphicData uri="http://schemas.microsoft.com/office/word/2010/wordprocessingShape">
                          <wps:wsp>
                            <wps:cNvSpPr txBox="1"/>
                            <wps:spPr>
                              <a:xfrm>
                                <a:off x="0" y="0"/>
                                <a:ext cx="20955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24510" cy="175895"/>
                      <wp:effectExtent l="0" t="0" r="0" b="0"/>
                      <wp:wrapNone/>
                      <wp:docPr id="302" name="Frame301"/>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1" w:after="0"/>
              <w:ind w:left="0" w:right="0" w:hanging="0"/>
              <w:jc w:val="left"/>
              <w:rPr>
                <w:color w:val="0563C1"/>
              </w:rPr>
            </w:pPr>
            <w:r>
              <w:rPr>
                <w:color w:val="0563C1"/>
              </w:rPr>
              <w:t>​</w:t>
            </w:r>
          </w:p>
        </w:tc>
        <w:tc>
          <w:tcPr>
            <w:tcW w:w="346" w:type="dxa"/>
            <w:tcBorders/>
            <w:vAlign w:val="center"/>
          </w:tcPr>
          <w:p>
            <w:pPr>
              <w:pStyle w:val="TableContents"/>
              <w:bidi w:val="0"/>
              <w:spacing w:before="1"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3078" w:type="dxa"/>
            <w:gridSpan w:val="7"/>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Fit to Win program</w:t>
            </w:r>
          </w:p>
        </w:tc>
        <w:tc>
          <w:tcPr>
            <w:tcW w:w="346" w:type="dxa"/>
            <w:tcBorders/>
            <w:vAlign w:val="center"/>
          </w:tcPr>
          <w:p>
            <w:pPr>
              <w:pStyle w:val="TableContents"/>
              <w:bidi w:val="0"/>
              <w:spacing w:before="1" w:after="0"/>
              <w:ind w:left="0" w:right="0" w:hanging="0"/>
              <w:jc w:val="left"/>
              <w:rPr/>
            </w:pPr>
            <w:r>
              <w:rPr/>
              <w:t>​</w:t>
            </w:r>
          </w:p>
        </w:tc>
        <w:tc>
          <w:tcPr>
            <w:tcW w:w="330" w:type="dxa"/>
            <w:tcBorders/>
            <w:vAlign w:val="center"/>
          </w:tcPr>
          <w:p>
            <w:pPr>
              <w:pStyle w:val="TableContents"/>
              <w:bidi w:val="0"/>
              <w:spacing w:before="1" w:after="0"/>
              <w:ind w:left="0" w:right="0" w:hanging="0"/>
              <w:jc w:val="left"/>
              <w:rPr/>
            </w:pPr>
            <w:r>
              <w:rPr/>
              <w:t>​</w:t>
            </w:r>
          </w:p>
        </w:tc>
        <w:tc>
          <w:tcPr>
            <w:tcW w:w="826" w:type="dxa"/>
            <w:tcBorders/>
            <w:vAlign w:val="center"/>
          </w:tcPr>
          <w:p>
            <w:pPr>
              <w:pStyle w:val="TableContents"/>
              <w:bidi w:val="0"/>
              <w:spacing w:before="1" w:after="0"/>
              <w:ind w:left="0" w:right="0" w:hanging="0"/>
              <w:jc w:val="left"/>
              <w:rPr/>
            </w:pPr>
            <w:r>
              <w:rPr/>
              <w:t>​</w:t>
            </w:r>
          </w:p>
        </w:tc>
      </w:tr>
      <w:tr>
        <w:trPr/>
        <w:tc>
          <w:tcPr>
            <w:tcW w:w="46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811"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1" w:after="0"/>
              <w:ind w:left="0" w:right="0" w:hanging="0"/>
              <w:jc w:val="center"/>
              <w:rPr/>
            </w:pPr>
            <w:r>
              <w:rPr/>
              <w:t>​</w:t>
            </w:r>
          </w:p>
        </w:tc>
        <w:tc>
          <w:tcPr>
            <w:tcW w:w="1005"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46" w:type="dxa"/>
            <w:tcBorders/>
            <w:vAlign w:val="center"/>
          </w:tcPr>
          <w:p>
            <w:pPr>
              <w:pStyle w:val="TableContents"/>
              <w:bidi w:val="0"/>
              <w:spacing w:before="1" w:after="0"/>
              <w:ind w:left="0" w:right="0" w:hanging="0"/>
              <w:jc w:val="center"/>
              <w:rPr/>
            </w:pPr>
            <w:r>
              <w:rPr/>
              <w:t>​</w:t>
            </w:r>
          </w:p>
        </w:tc>
        <w:tc>
          <w:tcPr>
            <w:tcW w:w="840"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1" w:after="0"/>
              <w:ind w:left="0" w:right="0" w:hanging="0"/>
              <w:jc w:val="left"/>
              <w:rPr/>
            </w:pPr>
            <w:r>
              <w:rPr/>
              <w:t>​</w:t>
            </w:r>
          </w:p>
        </w:tc>
        <w:tc>
          <w:tcPr>
            <w:tcW w:w="115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6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1" w:after="0"/>
              <w:ind w:left="0" w:right="0" w:hanging="0"/>
              <w:jc w:val="center"/>
              <w:rPr/>
            </w:pPr>
            <w:r>
              <w:rPr/>
              <w:t>  ​ ​ ​</w:t>
            </w:r>
          </w:p>
        </w:tc>
        <w:tc>
          <w:tcPr>
            <w:tcW w:w="1005"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Impairment </w:t>
            </w:r>
          </w:p>
        </w:tc>
        <w:tc>
          <w:tcPr>
            <w:tcW w:w="346" w:type="dxa"/>
            <w:tcBorders/>
            <w:vAlign w:val="center"/>
          </w:tcPr>
          <w:p>
            <w:pPr>
              <w:pStyle w:val="TableContents"/>
              <w:bidi w:val="0"/>
              <w:spacing w:before="1" w:after="0"/>
              <w:ind w:left="0" w:right="0" w:hanging="0"/>
              <w:jc w:val="center"/>
              <w:rPr/>
            </w:pPr>
            <w:r>
              <w:rPr/>
              <w:t>  ​ ​ ​</w:t>
            </w:r>
          </w:p>
        </w:tc>
        <w:tc>
          <w:tcPr>
            <w:tcW w:w="840"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Exit Costs</w:t>
            </w:r>
          </w:p>
        </w:tc>
        <w:tc>
          <w:tcPr>
            <w:tcW w:w="346" w:type="dxa"/>
            <w:tcBorders/>
            <w:vAlign w:val="center"/>
          </w:tcPr>
          <w:p>
            <w:pPr>
              <w:pStyle w:val="TableContents"/>
              <w:bidi w:val="0"/>
              <w:spacing w:before="1" w:after="0"/>
              <w:ind w:left="0" w:right="0" w:hanging="0"/>
              <w:jc w:val="center"/>
              <w:rPr/>
            </w:pPr>
            <w:r>
              <w:rPr/>
              <w:t>  ​ ​ ​</w:t>
            </w:r>
          </w:p>
        </w:tc>
        <w:tc>
          <w:tcPr>
            <w:tcW w:w="1156"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Restructuring</w:t>
            </w:r>
          </w:p>
        </w:tc>
      </w:tr>
      <w:tr>
        <w:trPr/>
        <w:tc>
          <w:tcPr>
            <w:tcW w:w="468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Balance at April 1, 2026</w:t>
            </w:r>
          </w:p>
        </w:tc>
        <w:tc>
          <w:tcPr>
            <w:tcW w:w="346" w:type="dxa"/>
            <w:tcBorders/>
            <w:shd w:fill="CCEEFF" w:val="clear"/>
            <w:vAlign w:val="center"/>
          </w:tcPr>
          <w:p>
            <w:pPr>
              <w:pStyle w:val="TableContents"/>
              <w:bidi w:val="0"/>
              <w:spacing w:before="1" w:after="0"/>
              <w:ind w:left="0" w:right="0" w:hanging="0"/>
              <w:jc w:val="left"/>
              <w:rPr/>
            </w:pPr>
            <w:r>
              <w:rPr/>
              <w:t>​</w:t>
            </w:r>
          </w:p>
        </w:tc>
        <w:tc>
          <w:tcPr>
            <w:tcW w:w="270"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1" w:after="0"/>
              <w:ind w:left="0" w:right="0" w:hanging="0"/>
              <w:jc w:val="right"/>
              <w:rPr/>
            </w:pPr>
            <w:r>
              <w:rPr/>
              <w:t>​</w:t>
            </w:r>
          </w:p>
        </w:tc>
        <w:tc>
          <w:tcPr>
            <w:tcW w:w="38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74"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1" w:after="0"/>
              <w:ind w:left="0" w:right="0" w:hanging="0"/>
              <w:jc w:val="left"/>
              <w:rPr/>
            </w:pPr>
            <w:r>
              <w:rPr/>
              <w:t>​</w:t>
            </w:r>
          </w:p>
        </w:tc>
        <w:tc>
          <w:tcPr>
            <w:tcW w:w="330"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68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46" w:type="dxa"/>
            <w:tcBorders/>
            <w:vAlign w:val="center"/>
          </w:tcPr>
          <w:p>
            <w:pPr>
              <w:pStyle w:val="TableContents"/>
              <w:bidi w:val="0"/>
              <w:spacing w:before="1" w:after="0"/>
              <w:ind w:left="0" w:right="0" w:hanging="0"/>
              <w:jc w:val="left"/>
              <w:rPr/>
            </w:pPr>
            <w:r>
              <w:rPr/>
              <w:t>​</w:t>
            </w:r>
          </w:p>
        </w:tc>
        <w:tc>
          <w:tcPr>
            <w:tcW w:w="270" w:type="dxa"/>
            <w:tcBorders/>
            <w:vAlign w:val="center"/>
          </w:tcPr>
          <w:p>
            <w:pPr>
              <w:pStyle w:val="TableContents"/>
              <w:bidi w:val="0"/>
              <w:spacing w:before="1" w:after="0"/>
              <w:ind w:left="0" w:right="0" w:hanging="0"/>
              <w:jc w:val="left"/>
              <w:rPr/>
            </w:pPr>
            <w:r>
              <w:rPr/>
              <w:t>​</w:t>
            </w:r>
          </w:p>
        </w:tc>
        <w:tc>
          <w:tcPr>
            <w:tcW w:w="54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1" w:after="0"/>
              <w:ind w:left="0" w:right="0" w:hanging="0"/>
              <w:jc w:val="right"/>
              <w:rPr/>
            </w:pPr>
            <w:r>
              <w:rPr/>
              <w:t>​</w:t>
            </w:r>
          </w:p>
        </w:tc>
        <w:tc>
          <w:tcPr>
            <w:tcW w:w="381" w:type="dxa"/>
            <w:tcBorders/>
            <w:vAlign w:val="center"/>
          </w:tcPr>
          <w:p>
            <w:pPr>
              <w:pStyle w:val="TableContents"/>
              <w:bidi w:val="0"/>
              <w:spacing w:before="1" w:after="0"/>
              <w:ind w:left="0" w:right="0" w:hanging="0"/>
              <w:jc w:val="left"/>
              <w:rPr/>
            </w:pPr>
            <w:r>
              <w:rPr/>
              <w:t>​</w:t>
            </w:r>
          </w:p>
        </w:tc>
        <w:tc>
          <w:tcPr>
            <w:tcW w:w="624"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1" w:after="0"/>
              <w:ind w:left="0" w:right="0" w:hanging="0"/>
              <w:jc w:val="right"/>
              <w:rPr/>
            </w:pPr>
            <w:r>
              <w:rPr/>
              <w:t>​</w:t>
            </w:r>
          </w:p>
        </w:tc>
        <w:tc>
          <w:tcPr>
            <w:tcW w:w="274" w:type="dxa"/>
            <w:tcBorders/>
            <w:vAlign w:val="center"/>
          </w:tcPr>
          <w:p>
            <w:pPr>
              <w:pStyle w:val="TableContents"/>
              <w:bidi w:val="0"/>
              <w:spacing w:before="1" w:after="0"/>
              <w:ind w:left="0" w:right="0" w:hanging="0"/>
              <w:jc w:val="left"/>
              <w:rPr/>
            </w:pPr>
            <w:r>
              <w:rPr/>
              <w:t>​</w:t>
            </w:r>
          </w:p>
        </w:tc>
        <w:tc>
          <w:tcPr>
            <w:tcW w:w="56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1" w:after="0"/>
              <w:ind w:left="0" w:right="0" w:hanging="0"/>
              <w:jc w:val="left"/>
              <w:rPr/>
            </w:pPr>
            <w:r>
              <w:rPr/>
              <w:t>​</w:t>
            </w:r>
          </w:p>
        </w:tc>
        <w:tc>
          <w:tcPr>
            <w:tcW w:w="330" w:type="dxa"/>
            <w:tcBorders/>
            <w:vAlign w:val="center"/>
          </w:tcPr>
          <w:p>
            <w:pPr>
              <w:pStyle w:val="TableContents"/>
              <w:bidi w:val="0"/>
              <w:spacing w:before="1" w:after="0"/>
              <w:ind w:left="0" w:right="0" w:hanging="0"/>
              <w:jc w:val="left"/>
              <w:rPr/>
            </w:pPr>
            <w:r>
              <w:rPr/>
              <w:t>​</w:t>
            </w:r>
          </w:p>
        </w:tc>
        <w:tc>
          <w:tcPr>
            <w:tcW w:w="82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68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Write-down of assets to net realizable value</w:t>
            </w:r>
          </w:p>
        </w:tc>
        <w:tc>
          <w:tcPr>
            <w:tcW w:w="346" w:type="dxa"/>
            <w:tcBorders/>
            <w:shd w:fill="CCEEFF" w:val="clear"/>
            <w:vAlign w:val="center"/>
          </w:tcPr>
          <w:p>
            <w:pPr>
              <w:pStyle w:val="TableContents"/>
              <w:bidi w:val="0"/>
              <w:spacing w:before="1" w:after="0"/>
              <w:ind w:left="0" w:right="0" w:hanging="0"/>
              <w:jc w:val="left"/>
              <w:rPr/>
            </w:pPr>
            <w:r>
              <w:rPr/>
              <w:t>​</w:t>
            </w:r>
          </w:p>
        </w:tc>
        <w:tc>
          <w:tcPr>
            <w:tcW w:w="270" w:type="dxa"/>
            <w:tcBorders/>
            <w:shd w:fill="CCEEFF" w:val="clear"/>
            <w:vAlign w:val="center"/>
          </w:tcPr>
          <w:p>
            <w:pPr>
              <w:pStyle w:val="TableContents"/>
              <w:bidi w:val="0"/>
              <w:spacing w:before="1" w:after="0"/>
              <w:ind w:left="0" w:right="0" w:hanging="0"/>
              <w:jc w:val="left"/>
              <w:rPr/>
            </w:pPr>
            <w:r>
              <w:rPr/>
              <w:t>​</w:t>
            </w:r>
          </w:p>
        </w:tc>
        <w:tc>
          <w:tcPr>
            <w:tcW w:w="54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81" w:type="dxa"/>
            <w:tcBorders/>
            <w:shd w:fill="CCEEFF" w:val="clear"/>
            <w:vAlign w:val="center"/>
          </w:tcPr>
          <w:p>
            <w:pPr>
              <w:pStyle w:val="TableContents"/>
              <w:bidi w:val="0"/>
              <w:spacing w:before="1" w:after="0"/>
              <w:ind w:left="0" w:right="0" w:hanging="0"/>
              <w:jc w:val="left"/>
              <w:rPr/>
            </w:pPr>
            <w:r>
              <w:rPr/>
              <w:t>​</w:t>
            </w:r>
          </w:p>
        </w:tc>
        <w:tc>
          <w:tcPr>
            <w:tcW w:w="624"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1" w:after="0"/>
              <w:ind w:left="0" w:right="0" w:hanging="0"/>
              <w:jc w:val="right"/>
              <w:rPr/>
            </w:pPr>
            <w:r>
              <w:rPr/>
              <w:t>​</w:t>
            </w:r>
          </w:p>
        </w:tc>
        <w:tc>
          <w:tcPr>
            <w:tcW w:w="274" w:type="dxa"/>
            <w:tcBorders/>
            <w:shd w:fill="CCEEFF" w:val="clear"/>
            <w:vAlign w:val="center"/>
          </w:tcPr>
          <w:p>
            <w:pPr>
              <w:pStyle w:val="TableContents"/>
              <w:bidi w:val="0"/>
              <w:spacing w:before="1" w:after="0"/>
              <w:ind w:left="0" w:right="0" w:hanging="0"/>
              <w:jc w:val="left"/>
              <w:rPr/>
            </w:pPr>
            <w:r>
              <w:rPr/>
              <w:t>​</w:t>
            </w:r>
          </w:p>
        </w:tc>
        <w:tc>
          <w:tcPr>
            <w:tcW w:w="566"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30" w:type="dxa"/>
            <w:tcBorders/>
            <w:shd w:fill="CCEEFF" w:val="clear"/>
            <w:vAlign w:val="center"/>
          </w:tcPr>
          <w:p>
            <w:pPr>
              <w:pStyle w:val="TableContents"/>
              <w:bidi w:val="0"/>
              <w:spacing w:before="1" w:after="0"/>
              <w:ind w:left="0" w:right="0" w:hanging="0"/>
              <w:jc w:val="left"/>
              <w:rPr/>
            </w:pPr>
            <w:r>
              <w:rPr/>
              <w:t>​</w:t>
            </w:r>
          </w:p>
        </w:tc>
        <w:tc>
          <w:tcPr>
            <w:tcW w:w="82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68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cash paid, principally severance and related benefits</w:t>
            </w:r>
          </w:p>
        </w:tc>
        <w:tc>
          <w:tcPr>
            <w:tcW w:w="346" w:type="dxa"/>
            <w:tcBorders/>
            <w:vAlign w:val="center"/>
          </w:tcPr>
          <w:p>
            <w:pPr>
              <w:pStyle w:val="TableContents"/>
              <w:bidi w:val="0"/>
              <w:spacing w:before="1" w:after="0"/>
              <w:ind w:left="0" w:right="0" w:hanging="0"/>
              <w:jc w:val="left"/>
              <w:rPr/>
            </w:pPr>
            <w:r>
              <w:rPr/>
              <w:t>​</w:t>
            </w:r>
          </w:p>
        </w:tc>
        <w:tc>
          <w:tcPr>
            <w:tcW w:w="270" w:type="dxa"/>
            <w:tcBorders/>
            <w:vAlign w:val="center"/>
          </w:tcPr>
          <w:p>
            <w:pPr>
              <w:pStyle w:val="TableContents"/>
              <w:bidi w:val="0"/>
              <w:spacing w:before="1" w:after="0"/>
              <w:ind w:left="0" w:right="0" w:hanging="0"/>
              <w:jc w:val="left"/>
              <w:rPr/>
            </w:pPr>
            <w:r>
              <w:rPr/>
              <w:t> </w:t>
            </w:r>
          </w:p>
        </w:tc>
        <w:tc>
          <w:tcPr>
            <w:tcW w:w="54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1" w:after="0"/>
              <w:ind w:left="0" w:right="0" w:hanging="0"/>
              <w:jc w:val="right"/>
              <w:rPr/>
            </w:pPr>
            <w:r>
              <w:rPr/>
              <w:t>​</w:t>
            </w:r>
          </w:p>
        </w:tc>
        <w:tc>
          <w:tcPr>
            <w:tcW w:w="381" w:type="dxa"/>
            <w:tcBorders/>
            <w:vAlign w:val="center"/>
          </w:tcPr>
          <w:p>
            <w:pPr>
              <w:pStyle w:val="TableContents"/>
              <w:bidi w:val="0"/>
              <w:spacing w:before="1" w:after="0"/>
              <w:ind w:left="0" w:right="0" w:hanging="0"/>
              <w:jc w:val="left"/>
              <w:rPr/>
            </w:pPr>
            <w:r>
              <w:rPr/>
              <w:t>​</w:t>
            </w:r>
          </w:p>
        </w:tc>
        <w:tc>
          <w:tcPr>
            <w:tcW w:w="624"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74" w:type="dxa"/>
            <w:tcBorders/>
            <w:vAlign w:val="center"/>
          </w:tcPr>
          <w:p>
            <w:pPr>
              <w:pStyle w:val="TableContents"/>
              <w:bidi w:val="0"/>
              <w:spacing w:before="1" w:after="0"/>
              <w:ind w:left="0" w:right="0" w:hanging="0"/>
              <w:jc w:val="left"/>
              <w:rPr/>
            </w:pPr>
            <w:r>
              <w:rPr/>
              <w:t>​</w:t>
            </w:r>
          </w:p>
        </w:tc>
        <w:tc>
          <w:tcPr>
            <w:tcW w:w="56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1" w:after="0"/>
              <w:ind w:left="0" w:right="0" w:hanging="0"/>
              <w:jc w:val="left"/>
              <w:rPr/>
            </w:pPr>
            <w:r>
              <w:rPr/>
              <w:t>​</w:t>
            </w:r>
          </w:p>
        </w:tc>
        <w:tc>
          <w:tcPr>
            <w:tcW w:w="330" w:type="dxa"/>
            <w:tcBorders/>
            <w:vAlign w:val="center"/>
          </w:tcPr>
          <w:p>
            <w:pPr>
              <w:pStyle w:val="TableContents"/>
              <w:bidi w:val="0"/>
              <w:spacing w:before="1" w:after="0"/>
              <w:ind w:left="0" w:right="0" w:hanging="0"/>
              <w:jc w:val="left"/>
              <w:rPr/>
            </w:pPr>
            <w:r>
              <w:rPr/>
              <w:t> </w:t>
            </w:r>
          </w:p>
        </w:tc>
        <w:tc>
          <w:tcPr>
            <w:tcW w:w="82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68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 including foreign exchange translation</w:t>
            </w:r>
          </w:p>
        </w:tc>
        <w:tc>
          <w:tcPr>
            <w:tcW w:w="346" w:type="dxa"/>
            <w:tcBorders/>
            <w:shd w:fill="CCEEFF" w:val="clear"/>
            <w:vAlign w:val="center"/>
          </w:tcPr>
          <w:p>
            <w:pPr>
              <w:pStyle w:val="TableContents"/>
              <w:bidi w:val="0"/>
              <w:spacing w:before="1"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1"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68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before="1"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1" w:after="0"/>
              <w:ind w:left="0" w:right="0" w:hanging="0"/>
              <w:jc w:val="right"/>
              <w:rPr/>
            </w:pPr>
            <w:r>
              <w:rPr/>
              <w:t>​</w:t>
            </w:r>
          </w:p>
        </w:tc>
        <w:tc>
          <w:tcPr>
            <w:tcW w:w="381"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bottom w:val="double" w:sz="6" w:space="0" w:color="000000"/>
            </w:tcBorders>
            <w:tcMar>
              <w:bottom w:w="28" w:type="dxa"/>
            </w:tcMar>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74"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1" w:after="0"/>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1" w:after="0"/>
              <w:ind w:left="0" w:right="60" w:hanging="0"/>
              <w:jc w:val="right"/>
              <w:rPr>
                <w:rFonts w:ascii="Times New Roman;Times;serif" w:hAnsi="Times New Roman;Times;serif"/>
                <w:sz w:val="20"/>
              </w:rPr>
            </w:pPr>
            <w:r>
              <w:rPr>
                <w:rFonts w:ascii="Times New Roman;Times;serif" w:hAnsi="Times New Roman;Times;serif"/>
                <w:sz w:val="20"/>
              </w:rPr>
              <w:t>132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Normal"/>
        <w:bidi w:val="0"/>
        <w:spacing w:before="0" w:after="0"/>
        <w:ind w:left="600" w:right="600" w:hanging="0"/>
        <w:jc w:val="left"/>
        <w:rPr>
          <w:sz w:val="4"/>
          <w:szCs w:val="4"/>
        </w:rPr>
      </w:pPr>
      <w:r>
        <w:rPr>
          <w:sz w:val="4"/>
          <w:szCs w:val="4"/>
        </w:rPr>
      </w:r>
      <w:bookmarkStart w:id="994" w:name="Tc_aiE5BTCt80e92lrDrsOpbg_9_20"/>
      <w:bookmarkStart w:id="995" w:name="Tc_6BTm5NRinUa1ZziixQ_e_g_9_17"/>
      <w:bookmarkStart w:id="996" w:name="Tc_3qECIQ0YnUeMn_RZrS4GUg_9_15"/>
      <w:bookmarkStart w:id="997" w:name="Tc_XpS2EXbkEEmrfqjPKkH0eg_9_14"/>
      <w:bookmarkStart w:id="998" w:name="Tc_fFRveQXm1UGNbs6JcnPOvA_9_11"/>
      <w:bookmarkStart w:id="999" w:name="Tc_3AoI6jZuTUWSE4vzUbyTeA_9_8"/>
      <w:bookmarkStart w:id="1000" w:name="Tc_j_dk1M5gEkOPblfvkHd9bQ_9_6"/>
      <w:bookmarkStart w:id="1001" w:name="Tc_WCNVNni6hUOaEh4E5jJsWw_9_5"/>
      <w:bookmarkStart w:id="1002" w:name="Tc_2Dbf9QepREGzIVlgWXcV2Q_9_2"/>
      <w:bookmarkStart w:id="1003" w:name="Tc_512nsz2cWk-HYzAs0Xl-2A_9_0"/>
      <w:bookmarkStart w:id="1004" w:name="Tc_Al5G9i2A1kyy1om_ZuTexg_8_0"/>
      <w:bookmarkStart w:id="1005" w:name="Tc_5JqLPFwk9U-hbY-d3An_tA_7_0"/>
      <w:bookmarkStart w:id="1006" w:name="Tc_Xk3rNChEREq2Zh7T2UYwuw_6_0"/>
      <w:bookmarkStart w:id="1007" w:name="Tc_lAKgyxZBHEKcKzniwZGc0w_5_0"/>
      <w:bookmarkStart w:id="1008" w:name="Tc_QFPrROPdL0asos5vG3y0Ew_4_20"/>
      <w:bookmarkStart w:id="1009" w:name="Tc_WervQ09OIEKUFwCRKlU3MA_4_17"/>
      <w:bookmarkStart w:id="1010" w:name="Tc_Qw_tTaVJAEKsTCy16bmbIg_4_15"/>
      <w:bookmarkStart w:id="1011" w:name="Tc_rptqQhmFnEGWumdyNtV2pQ_4_14"/>
      <w:bookmarkStart w:id="1012" w:name="Tc_if8SkTHxMEen99iCxxvgBw_4_11"/>
      <w:bookmarkStart w:id="1013" w:name="Tc_K2Qo96fdXUWXhWE0ZKyTRQ_4_8"/>
      <w:bookmarkStart w:id="1014" w:name="Tc_fgbNipc4nkGTmLvKm2jm-g_4_6"/>
      <w:bookmarkStart w:id="1015" w:name="Tc_CGRNS3PxqEyO-KdezQ6-BQ_4_5"/>
      <w:bookmarkStart w:id="1016" w:name="Tc_Wk0YlibrXE6JZo2MbIO9lA_4_2"/>
      <w:bookmarkStart w:id="1017" w:name="Tc_d7AFjggc80SqwU8WunZ9Gg_4_0"/>
      <w:bookmarkStart w:id="1018" w:name="Tc_9N47DGsFkkabborz9IsZgA_3_20"/>
      <w:bookmarkStart w:id="1019" w:name="Tc_GazzjBCEtkOjiL4o7sD02Q_3_17"/>
      <w:bookmarkStart w:id="1020" w:name="Tc_qf_3SZQoO0SFKLdkTY0E1A_3_14"/>
      <w:bookmarkStart w:id="1021" w:name="Tc_vvBJxOaDJEaX6MyGzE-z8Q_3_11"/>
      <w:bookmarkStart w:id="1022" w:name="Tc_6o33VI7ZrkCTXGOaWgl6Ng_3_8"/>
      <w:bookmarkStart w:id="1023" w:name="Tc_kdblf89SNU6cc59209w_Dw_3_5"/>
      <w:bookmarkStart w:id="1024" w:name="Tc_6xZLYNoGeEyE5MWKITRxkQ_3_2"/>
      <w:bookmarkStart w:id="1025" w:name="Tc_sb6Q1yMwCU2cj269QDudEQ_2_20"/>
      <w:bookmarkStart w:id="1026" w:name="Tc_ihZPbkvktUGOH5PtZnRujg_2_17"/>
      <w:bookmarkStart w:id="1027" w:name="Tc_E7w_DjLsmEydk6UT9HHhug_2_14"/>
      <w:bookmarkStart w:id="1028" w:name="Tc_ICNivdmWnUSMdTNi6C_CqA_2_11"/>
      <w:bookmarkStart w:id="1029" w:name="Tc_v_7gjqJyJEGBkX7sR00zYA_2_8"/>
      <w:bookmarkStart w:id="1030" w:name="Tc_V2OO4rdWrUmwdketq-WxFA_2_5"/>
      <w:bookmarkStart w:id="1031" w:name="Tc_CWASBZ7y-kKYzWR9iSJZmg_2_2"/>
      <w:bookmarkStart w:id="1032" w:name="Tc_lRD4voGwdku0O1X5533Xfg_1_12"/>
      <w:bookmarkStart w:id="1033" w:name="Tc_cgpmfKwc5UektSEjb2qGPg_1_3"/>
      <w:bookmarkStart w:id="1034" w:name="_a159027c_c461_4fa4_ac6a_cba44e1a3581"/>
      <w:bookmarkStart w:id="1035" w:name="Tc_ZCly7gksbEGEpplt0r9yJA_9_11"/>
      <w:bookmarkStart w:id="1036" w:name="Tc_a5Lp7qkHokKu0lRpVkc_qg_9_8"/>
      <w:bookmarkStart w:id="1037" w:name="Tc_PtEmrkXss0C_98sSKdqWXg_9_6"/>
      <w:bookmarkStart w:id="1038" w:name="Tc_ESKQZzCsQkyZcq0LoIxjvA_9_5"/>
      <w:bookmarkStart w:id="1039" w:name="Tc_u2ZZ347_Rk6X4hYnv3HUiQ_9_2"/>
      <w:bookmarkStart w:id="1040" w:name="Tc_sMOnfMdkd0263BS-ONoFeg_9_0"/>
      <w:bookmarkStart w:id="1041" w:name="Tc_p6jdjZ6t_0KzEybc4NFmaQ_8_0"/>
      <w:bookmarkStart w:id="1042" w:name="Tc_2aMjgq3a2kCdnU_OGZ4Mcw_7_0"/>
      <w:bookmarkStart w:id="1043" w:name="Tc_kO1Xum7SSk-eUGYqKXgMog_6_0"/>
      <w:bookmarkStart w:id="1044" w:name="Tc_eXhYXrQ7qE-qzNJDb_lm4w_5_0"/>
      <w:bookmarkStart w:id="1045" w:name="Tc_rkf5TI09gkODy56fr1AWvQ_4_11"/>
      <w:bookmarkStart w:id="1046" w:name="Tc_Wlvel-Oce0iLeiEnSTjguw_4_8"/>
      <w:bookmarkStart w:id="1047" w:name="Tc_xW8BaZzUG0WnZAu1tO9OkA_4_5"/>
      <w:bookmarkStart w:id="1048" w:name="Tc_HfslQVPLgEOgkCMxGVdNeQ_4_2"/>
      <w:bookmarkStart w:id="1049" w:name="Tc_M9fwTjswckyrCuNv0-16wQ_4_0"/>
      <w:bookmarkStart w:id="1050" w:name="Tc_ouUI5Ac5zkW3hkaHkzJIBg_3_11"/>
      <w:bookmarkStart w:id="1051" w:name="Tc_OVmAcZSbLkaJvHex_0Ew_A_3_8"/>
      <w:bookmarkStart w:id="1052" w:name="Tc_r6Jh-6jRvEGbZi5NF6jDXQ_3_5"/>
      <w:bookmarkStart w:id="1053" w:name="Tc_C_jQauaTLUuTAFCO5ZN-lg_3_2"/>
      <w:bookmarkStart w:id="1054" w:name="Tc_R3h3MtTotUe2FggODx4mcg_2_11"/>
      <w:bookmarkStart w:id="1055" w:name="Tc_nfFGgK2HnUSiQq4X1Ll2nw_2_8"/>
      <w:bookmarkStart w:id="1056" w:name="Tc_dPrznQlmUU63DwMQdrd0kA_2_5"/>
      <w:bookmarkStart w:id="1057" w:name="Tc_C0VoFCK1XUWd_4iRkWJvAw_2_2"/>
      <w:bookmarkStart w:id="1058" w:name="Tc_J3iA9vs_XkOTofHuiuLxMQ_1_3"/>
      <w:bookmarkStart w:id="1059" w:name="_304ec522_f658_4399_96ef_2cd72a2e05ee"/>
      <w:bookmarkStart w:id="1060" w:name="Tc_orzLxZAMdU2loe_LTXNGMg_9_20"/>
      <w:bookmarkStart w:id="1061" w:name="Tc_K_5CXPJlHkCTrFIlFrEOog_9_17"/>
      <w:bookmarkStart w:id="1062" w:name="Tc_HVJHSuEQJkaTeWteu28qJQ_9_15"/>
      <w:bookmarkStart w:id="1063" w:name="Tc_zQBS_n2xnkuhsRmNnrm6CA_9_14"/>
      <w:bookmarkStart w:id="1064" w:name="Tc_K8kU7CIyzkKhnpolPv1YBQ_9_11"/>
      <w:bookmarkStart w:id="1065" w:name="Tc_ncAgPIY4XEeS1f_-lhnbAA_9_8"/>
      <w:bookmarkStart w:id="1066" w:name="Tc_DNzGN4ZYgUyg-PDkfDZvYQ_9_6"/>
      <w:bookmarkStart w:id="1067" w:name="Tc_Ydn1N-gv3UWW6k1dyZjrKA_9_5"/>
      <w:bookmarkStart w:id="1068" w:name="Tc_QIK8EC6vKE2UWhmmWZLOMQ_9_2"/>
      <w:bookmarkStart w:id="1069" w:name="Tc_Rbglhk7RY0CT_dPvK3EjKA_9_0"/>
      <w:bookmarkStart w:id="1070" w:name="Tc_oqDLxpo7U0CekuILZLEmPw_8_0"/>
      <w:bookmarkStart w:id="1071" w:name="Tc_505FH_-KkUe_RaHcTnZM7g_7_0"/>
      <w:bookmarkStart w:id="1072" w:name="Tc_y9I2Vu5_6USmJ_PquKCK8w_6_0"/>
      <w:bookmarkStart w:id="1073" w:name="Tc_a_fhjJLkok-R4460oZ2hpA_5_0"/>
      <w:bookmarkStart w:id="1074" w:name="Tc_gy8SmonBpEuj5eHDx80rww_4_20"/>
      <w:bookmarkStart w:id="1075" w:name="Tc_hdOtlugKB0SBPOkc_Y_Mrg_4_15"/>
      <w:bookmarkStart w:id="1076" w:name="Tc_MVLtYyV8DE2IM7_3tH84UA_4_14"/>
      <w:bookmarkStart w:id="1077" w:name="Tc_Yrq86swbF0KjfpuRGQGrmw_4_11"/>
      <w:bookmarkStart w:id="1078" w:name="Tc_edJ0lct8Qkm2YIhtidzuGQ_4_8"/>
      <w:bookmarkStart w:id="1079" w:name="Tc_9XJtwL0Vlk6YrvMvxLgpnw_4_6"/>
      <w:bookmarkStart w:id="1080" w:name="Tc_CaCXJ6agtUy9OnHaAxDFwg_4_5"/>
      <w:bookmarkStart w:id="1081" w:name="Tc_yLjuxLsweEWb9o18L6vpvw_4_2"/>
      <w:bookmarkStart w:id="1082" w:name="Tc_-eMwOJam_06qwMv7RsU_jA_4_0"/>
      <w:bookmarkStart w:id="1083" w:name="Tc_4Y_8AOShFkWyjz2_gHej1A_3_20"/>
      <w:bookmarkStart w:id="1084" w:name="Tc_yeZvMxMgCUeAXQEKOHpQ0w_3_17"/>
      <w:bookmarkStart w:id="1085" w:name="Tc_0ohU0G77OUC0oGcJhhu36Q_3_14"/>
      <w:bookmarkStart w:id="1086" w:name="Tc_21YUAfK-N0GytHTTTU3P0w_3_11"/>
      <w:bookmarkStart w:id="1087" w:name="Tc_7AaNt4B-ukapIYKrjfydFw_3_8"/>
      <w:bookmarkStart w:id="1088" w:name="Tc_-MnCK9IYQkyXraClaFJzjA_3_5"/>
      <w:bookmarkStart w:id="1089" w:name="Tc_ZqYDt1ji9EmJfI2JL9C75w_3_2"/>
      <w:bookmarkStart w:id="1090" w:name="Tc_qPr7uIhJf0WKYyfKkQtpcQ_2_20"/>
      <w:bookmarkStart w:id="1091" w:name="Tc_v1ij0r_TsUCkE__oECeQsQ_2_17"/>
      <w:bookmarkStart w:id="1092" w:name="Tc_mDtxRhztzUO8bliBrO9BxA_2_14"/>
      <w:bookmarkStart w:id="1093" w:name="Tc_N8mirYKB00qzF3TzgdAmGw_2_11"/>
      <w:bookmarkStart w:id="1094" w:name="Tc_V29lCKpv4EqsQsV02sFWBA_2_8"/>
      <w:bookmarkStart w:id="1095" w:name="Tc_n33QAubc60ezaKa5FDPhmQ_2_5"/>
      <w:bookmarkStart w:id="1096" w:name="Tc_pQG6FFppwESuReEXNEJ9dQ_2_2"/>
      <w:bookmarkStart w:id="1097" w:name="Tc_N_wxnGmvfkCq1kp6eJ3g5Q_1_12"/>
      <w:bookmarkStart w:id="1098" w:name="Tc_nFLJ-74k6kOQ_rh-2av_NA_1_3"/>
      <w:bookmarkStart w:id="1099" w:name="_dedb5183_6423_4c3c_8549_dd52d93d66fe"/>
      <w:bookmarkStart w:id="1100" w:name="Tc_aiE5BTCt80e92lrDrsOpbg_9_20"/>
      <w:bookmarkStart w:id="1101" w:name="Tc_6BTm5NRinUa1ZziixQ_e_g_9_17"/>
      <w:bookmarkStart w:id="1102" w:name="Tc_3qECIQ0YnUeMn_RZrS4GUg_9_15"/>
      <w:bookmarkStart w:id="1103" w:name="Tc_XpS2EXbkEEmrfqjPKkH0eg_9_14"/>
      <w:bookmarkStart w:id="1104" w:name="Tc_fFRveQXm1UGNbs6JcnPOvA_9_11"/>
      <w:bookmarkStart w:id="1105" w:name="Tc_3AoI6jZuTUWSE4vzUbyTeA_9_8"/>
      <w:bookmarkStart w:id="1106" w:name="Tc_j_dk1M5gEkOPblfvkHd9bQ_9_6"/>
      <w:bookmarkStart w:id="1107" w:name="Tc_WCNVNni6hUOaEh4E5jJsWw_9_5"/>
      <w:bookmarkStart w:id="1108" w:name="Tc_2Dbf9QepREGzIVlgWXcV2Q_9_2"/>
      <w:bookmarkStart w:id="1109" w:name="Tc_512nsz2cWk-HYzAs0Xl-2A_9_0"/>
      <w:bookmarkStart w:id="1110" w:name="Tc_Al5G9i2A1kyy1om_ZuTexg_8_0"/>
      <w:bookmarkStart w:id="1111" w:name="Tc_5JqLPFwk9U-hbY-d3An_tA_7_0"/>
      <w:bookmarkStart w:id="1112" w:name="Tc_Xk3rNChEREq2Zh7T2UYwuw_6_0"/>
      <w:bookmarkStart w:id="1113" w:name="Tc_lAKgyxZBHEKcKzniwZGc0w_5_0"/>
      <w:bookmarkStart w:id="1114" w:name="Tc_QFPrROPdL0asos5vG3y0Ew_4_20"/>
      <w:bookmarkStart w:id="1115" w:name="Tc_WervQ09OIEKUFwCRKlU3MA_4_17"/>
      <w:bookmarkStart w:id="1116" w:name="Tc_Qw_tTaVJAEKsTCy16bmbIg_4_15"/>
      <w:bookmarkStart w:id="1117" w:name="Tc_rptqQhmFnEGWumdyNtV2pQ_4_14"/>
      <w:bookmarkStart w:id="1118" w:name="Tc_if8SkTHxMEen99iCxxvgBw_4_11"/>
      <w:bookmarkStart w:id="1119" w:name="Tc_K2Qo96fdXUWXhWE0ZKyTRQ_4_8"/>
      <w:bookmarkStart w:id="1120" w:name="Tc_fgbNipc4nkGTmLvKm2jm-g_4_6"/>
      <w:bookmarkStart w:id="1121" w:name="Tc_CGRNS3PxqEyO-KdezQ6-BQ_4_5"/>
      <w:bookmarkStart w:id="1122" w:name="Tc_Wk0YlibrXE6JZo2MbIO9lA_4_2"/>
      <w:bookmarkStart w:id="1123" w:name="Tc_d7AFjggc80SqwU8WunZ9Gg_4_0"/>
      <w:bookmarkStart w:id="1124" w:name="Tc_9N47DGsFkkabborz9IsZgA_3_20"/>
      <w:bookmarkStart w:id="1125" w:name="Tc_GazzjBCEtkOjiL4o7sD02Q_3_17"/>
      <w:bookmarkStart w:id="1126" w:name="Tc_qf_3SZQoO0SFKLdkTY0E1A_3_14"/>
      <w:bookmarkStart w:id="1127" w:name="Tc_vvBJxOaDJEaX6MyGzE-z8Q_3_11"/>
      <w:bookmarkStart w:id="1128" w:name="Tc_6o33VI7ZrkCTXGOaWgl6Ng_3_8"/>
      <w:bookmarkStart w:id="1129" w:name="Tc_kdblf89SNU6cc59209w_Dw_3_5"/>
      <w:bookmarkStart w:id="1130" w:name="Tc_6xZLYNoGeEyE5MWKITRxkQ_3_2"/>
      <w:bookmarkStart w:id="1131" w:name="Tc_sb6Q1yMwCU2cj269QDudEQ_2_20"/>
      <w:bookmarkStart w:id="1132" w:name="Tc_ihZPbkvktUGOH5PtZnRujg_2_17"/>
      <w:bookmarkStart w:id="1133" w:name="Tc_E7w_DjLsmEydk6UT9HHhug_2_14"/>
      <w:bookmarkStart w:id="1134" w:name="Tc_ICNivdmWnUSMdTNi6C_CqA_2_11"/>
      <w:bookmarkStart w:id="1135" w:name="Tc_v_7gjqJyJEGBkX7sR00zYA_2_8"/>
      <w:bookmarkStart w:id="1136" w:name="Tc_V2OO4rdWrUmwdketq-WxFA_2_5"/>
      <w:bookmarkStart w:id="1137" w:name="Tc_CWASBZ7y-kKYzWR9iSJZmg_2_2"/>
      <w:bookmarkStart w:id="1138" w:name="Tc_lRD4voGwdku0O1X5533Xfg_1_12"/>
      <w:bookmarkStart w:id="1139" w:name="Tc_cgpmfKwc5UektSEjb2qGPg_1_3"/>
      <w:bookmarkStart w:id="1140" w:name="_a159027c_c461_4fa4_ac6a_cba44e1a3581"/>
      <w:bookmarkStart w:id="1141" w:name="Tc_ZCly7gksbEGEpplt0r9yJA_9_11"/>
      <w:bookmarkStart w:id="1142" w:name="Tc_a5Lp7qkHokKu0lRpVkc_qg_9_8"/>
      <w:bookmarkStart w:id="1143" w:name="Tc_PtEmrkXss0C_98sSKdqWXg_9_6"/>
      <w:bookmarkStart w:id="1144" w:name="Tc_ESKQZzCsQkyZcq0LoIxjvA_9_5"/>
      <w:bookmarkStart w:id="1145" w:name="Tc_u2ZZ347_Rk6X4hYnv3HUiQ_9_2"/>
      <w:bookmarkStart w:id="1146" w:name="Tc_sMOnfMdkd0263BS-ONoFeg_9_0"/>
      <w:bookmarkStart w:id="1147" w:name="Tc_p6jdjZ6t_0KzEybc4NFmaQ_8_0"/>
      <w:bookmarkStart w:id="1148" w:name="Tc_2aMjgq3a2kCdnU_OGZ4Mcw_7_0"/>
      <w:bookmarkStart w:id="1149" w:name="Tc_kO1Xum7SSk-eUGYqKXgMog_6_0"/>
      <w:bookmarkStart w:id="1150" w:name="Tc_eXhYXrQ7qE-qzNJDb_lm4w_5_0"/>
      <w:bookmarkStart w:id="1151" w:name="Tc_rkf5TI09gkODy56fr1AWvQ_4_11"/>
      <w:bookmarkStart w:id="1152" w:name="Tc_Wlvel-Oce0iLeiEnSTjguw_4_8"/>
      <w:bookmarkStart w:id="1153" w:name="Tc_xW8BaZzUG0WnZAu1tO9OkA_4_5"/>
      <w:bookmarkStart w:id="1154" w:name="Tc_HfslQVPLgEOgkCMxGVdNeQ_4_2"/>
      <w:bookmarkStart w:id="1155" w:name="Tc_M9fwTjswckyrCuNv0-16wQ_4_0"/>
      <w:bookmarkStart w:id="1156" w:name="Tc_ouUI5Ac5zkW3hkaHkzJIBg_3_11"/>
      <w:bookmarkStart w:id="1157" w:name="Tc_OVmAcZSbLkaJvHex_0Ew_A_3_8"/>
      <w:bookmarkStart w:id="1158" w:name="Tc_r6Jh-6jRvEGbZi5NF6jDXQ_3_5"/>
      <w:bookmarkStart w:id="1159" w:name="Tc_C_jQauaTLUuTAFCO5ZN-lg_3_2"/>
      <w:bookmarkStart w:id="1160" w:name="Tc_R3h3MtTotUe2FggODx4mcg_2_11"/>
      <w:bookmarkStart w:id="1161" w:name="Tc_nfFGgK2HnUSiQq4X1Ll2nw_2_8"/>
      <w:bookmarkStart w:id="1162" w:name="Tc_dPrznQlmUU63DwMQdrd0kA_2_5"/>
      <w:bookmarkStart w:id="1163" w:name="Tc_C0VoFCK1XUWd_4iRkWJvAw_2_2"/>
      <w:bookmarkStart w:id="1164" w:name="Tc_J3iA9vs_XkOTofHuiuLxMQ_1_3"/>
      <w:bookmarkStart w:id="1165" w:name="_304ec522_f658_4399_96ef_2cd72a2e05ee"/>
      <w:bookmarkStart w:id="1166" w:name="Tc_orzLxZAMdU2loe_LTXNGMg_9_20"/>
      <w:bookmarkStart w:id="1167" w:name="Tc_K_5CXPJlHkCTrFIlFrEOog_9_17"/>
      <w:bookmarkStart w:id="1168" w:name="Tc_HVJHSuEQJkaTeWteu28qJQ_9_15"/>
      <w:bookmarkStart w:id="1169" w:name="Tc_zQBS_n2xnkuhsRmNnrm6CA_9_14"/>
      <w:bookmarkStart w:id="1170" w:name="Tc_K8kU7CIyzkKhnpolPv1YBQ_9_11"/>
      <w:bookmarkStart w:id="1171" w:name="Tc_ncAgPIY4XEeS1f_-lhnbAA_9_8"/>
      <w:bookmarkStart w:id="1172" w:name="Tc_DNzGN4ZYgUyg-PDkfDZvYQ_9_6"/>
      <w:bookmarkStart w:id="1173" w:name="Tc_Ydn1N-gv3UWW6k1dyZjrKA_9_5"/>
      <w:bookmarkStart w:id="1174" w:name="Tc_QIK8EC6vKE2UWhmmWZLOMQ_9_2"/>
      <w:bookmarkStart w:id="1175" w:name="Tc_Rbglhk7RY0CT_dPvK3EjKA_9_0"/>
      <w:bookmarkStart w:id="1176" w:name="Tc_oqDLxpo7U0CekuILZLEmPw_8_0"/>
      <w:bookmarkStart w:id="1177" w:name="Tc_505FH_-KkUe_RaHcTnZM7g_7_0"/>
      <w:bookmarkStart w:id="1178" w:name="Tc_y9I2Vu5_6USmJ_PquKCK8w_6_0"/>
      <w:bookmarkStart w:id="1179" w:name="Tc_a_fhjJLkok-R4460oZ2hpA_5_0"/>
      <w:bookmarkStart w:id="1180" w:name="Tc_gy8SmonBpEuj5eHDx80rww_4_20"/>
      <w:bookmarkStart w:id="1181" w:name="Tc_hdOtlugKB0SBPOkc_Y_Mrg_4_15"/>
      <w:bookmarkStart w:id="1182" w:name="Tc_MVLtYyV8DE2IM7_3tH84UA_4_14"/>
      <w:bookmarkStart w:id="1183" w:name="Tc_Yrq86swbF0KjfpuRGQGrmw_4_11"/>
      <w:bookmarkStart w:id="1184" w:name="Tc_edJ0lct8Qkm2YIhtidzuGQ_4_8"/>
      <w:bookmarkStart w:id="1185" w:name="Tc_9XJtwL0Vlk6YrvMvxLgpnw_4_6"/>
      <w:bookmarkStart w:id="1186" w:name="Tc_CaCXJ6agtUy9OnHaAxDFwg_4_5"/>
      <w:bookmarkStart w:id="1187" w:name="Tc_yLjuxLsweEWb9o18L6vpvw_4_2"/>
      <w:bookmarkStart w:id="1188" w:name="Tc_-eMwOJam_06qwMv7RsU_jA_4_0"/>
      <w:bookmarkStart w:id="1189" w:name="Tc_4Y_8AOShFkWyjz2_gHej1A_3_20"/>
      <w:bookmarkStart w:id="1190" w:name="Tc_yeZvMxMgCUeAXQEKOHpQ0w_3_17"/>
      <w:bookmarkStart w:id="1191" w:name="Tc_0ohU0G77OUC0oGcJhhu36Q_3_14"/>
      <w:bookmarkStart w:id="1192" w:name="Tc_21YUAfK-N0GytHTTTU3P0w_3_11"/>
      <w:bookmarkStart w:id="1193" w:name="Tc_7AaNt4B-ukapIYKrjfydFw_3_8"/>
      <w:bookmarkStart w:id="1194" w:name="Tc_-MnCK9IYQkyXraClaFJzjA_3_5"/>
      <w:bookmarkStart w:id="1195" w:name="Tc_ZqYDt1ji9EmJfI2JL9C75w_3_2"/>
      <w:bookmarkStart w:id="1196" w:name="Tc_qPr7uIhJf0WKYyfKkQtpcQ_2_20"/>
      <w:bookmarkStart w:id="1197" w:name="Tc_v1ij0r_TsUCkE__oECeQsQ_2_17"/>
      <w:bookmarkStart w:id="1198" w:name="Tc_mDtxRhztzUO8bliBrO9BxA_2_14"/>
      <w:bookmarkStart w:id="1199" w:name="Tc_N8mirYKB00qzF3TzgdAmGw_2_11"/>
      <w:bookmarkStart w:id="1200" w:name="Tc_V29lCKpv4EqsQsV02sFWBA_2_8"/>
      <w:bookmarkStart w:id="1201" w:name="Tc_n33QAubc60ezaKa5FDPhmQ_2_5"/>
      <w:bookmarkStart w:id="1202" w:name="Tc_pQG6FFppwESuReEXNEJ9dQ_2_2"/>
      <w:bookmarkStart w:id="1203" w:name="Tc_N_wxnGmvfkCq1kp6eJ3g5Q_1_12"/>
      <w:bookmarkStart w:id="1204" w:name="Tc_nFLJ-74k6kOQ_rh-2av_NA_1_3"/>
      <w:bookmarkStart w:id="1205" w:name="_dedb5183_6423_4c3c_8549_dd52d93d66fe"/>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p>
    <w:tbl>
      <w:tblPr>
        <w:tblW w:w="10205" w:type="dxa"/>
        <w:jc w:val="left"/>
        <w:tblInd w:w="0" w:type="dxa"/>
        <w:tblLayout w:type="fixed"/>
        <w:tblCellMar>
          <w:top w:w="0" w:type="dxa"/>
          <w:left w:w="0" w:type="dxa"/>
          <w:bottom w:w="0" w:type="dxa"/>
          <w:right w:w="0" w:type="dxa"/>
        </w:tblCellMar>
      </w:tblPr>
      <w:tblGrid>
        <w:gridCol w:w="1853"/>
        <w:gridCol w:w="346"/>
        <w:gridCol w:w="291"/>
        <w:gridCol w:w="520"/>
        <w:gridCol w:w="346"/>
        <w:gridCol w:w="295"/>
        <w:gridCol w:w="674"/>
        <w:gridCol w:w="346"/>
        <w:gridCol w:w="235"/>
        <w:gridCol w:w="369"/>
        <w:gridCol w:w="346"/>
        <w:gridCol w:w="355"/>
        <w:gridCol w:w="456"/>
        <w:gridCol w:w="346"/>
        <w:gridCol w:w="367"/>
        <w:gridCol w:w="602"/>
        <w:gridCol w:w="346"/>
        <w:gridCol w:w="235"/>
        <w:gridCol w:w="369"/>
        <w:gridCol w:w="346"/>
        <w:gridCol w:w="330"/>
        <w:gridCol w:w="832"/>
      </w:tblGrid>
      <w:tr>
        <w:trPr/>
        <w:tc>
          <w:tcPr>
            <w:tcW w:w="1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176655" cy="175895"/>
                      <wp:effectExtent l="0" t="0" r="0" b="0"/>
                      <wp:wrapNone/>
                      <wp:docPr id="303" name="Frame302"/>
                      <a:graphic xmlns:a="http://schemas.openxmlformats.org/drawingml/2006/main">
                        <a:graphicData uri="http://schemas.microsoft.com/office/word/2010/wordprocessingShape">
                          <wps:wsp>
                            <wps:cNvSpPr txBox="1"/>
                            <wps:spPr>
                              <a:xfrm>
                                <a:off x="0" y="0"/>
                                <a:ext cx="117665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895"/>
                      <wp:effectExtent l="0" t="0" r="0" b="0"/>
                      <wp:wrapNone/>
                      <wp:docPr id="304" name="Frame30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84785" cy="175895"/>
                      <wp:effectExtent l="0" t="0" r="0" b="0"/>
                      <wp:wrapNone/>
                      <wp:docPr id="305" name="Frame304"/>
                      <a:graphic xmlns:a="http://schemas.openxmlformats.org/drawingml/2006/main">
                        <a:graphicData uri="http://schemas.microsoft.com/office/word/2010/wordprocessingShape">
                          <wps:wsp>
                            <wps:cNvSpPr txBox="1"/>
                            <wps:spPr>
                              <a:xfrm>
                                <a:off x="0" y="0"/>
                                <a:ext cx="1847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30200" cy="175895"/>
                      <wp:effectExtent l="0" t="0" r="0" b="0"/>
                      <wp:wrapNone/>
                      <wp:docPr id="306" name="Frame305"/>
                      <a:graphic xmlns:a="http://schemas.openxmlformats.org/drawingml/2006/main">
                        <a:graphicData uri="http://schemas.microsoft.com/office/word/2010/wordprocessingShape">
                          <wps:wsp>
                            <wps:cNvSpPr txBox="1"/>
                            <wps:spPr>
                              <a:xfrm>
                                <a:off x="0" y="0"/>
                                <a:ext cx="33020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895"/>
                      <wp:effectExtent l="0" t="0" r="0" b="0"/>
                      <wp:wrapNone/>
                      <wp:docPr id="307" name="Frame30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87325" cy="175895"/>
                      <wp:effectExtent l="0" t="0" r="0" b="0"/>
                      <wp:wrapNone/>
                      <wp:docPr id="308" name="Frame307"/>
                      <a:graphic xmlns:a="http://schemas.openxmlformats.org/drawingml/2006/main">
                        <a:graphicData uri="http://schemas.microsoft.com/office/word/2010/wordprocessingShape">
                          <wps:wsp>
                            <wps:cNvSpPr txBox="1"/>
                            <wps:spPr>
                              <a:xfrm>
                                <a:off x="0" y="0"/>
                                <a:ext cx="18732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7990" cy="175895"/>
                      <wp:effectExtent l="0" t="0" r="0" b="0"/>
                      <wp:wrapNone/>
                      <wp:docPr id="309" name="Frame308"/>
                      <a:graphic xmlns:a="http://schemas.openxmlformats.org/drawingml/2006/main">
                        <a:graphicData uri="http://schemas.microsoft.com/office/word/2010/wordprocessingShape">
                          <wps:wsp>
                            <wps:cNvSpPr txBox="1"/>
                            <wps:spPr>
                              <a:xfrm>
                                <a:off x="0" y="0"/>
                                <a:ext cx="42799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895"/>
                      <wp:effectExtent l="0" t="0" r="0" b="0"/>
                      <wp:wrapNone/>
                      <wp:docPr id="310" name="Frame30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49225" cy="175895"/>
                      <wp:effectExtent l="0" t="0" r="0" b="0"/>
                      <wp:wrapNone/>
                      <wp:docPr id="311" name="Frame310"/>
                      <a:graphic xmlns:a="http://schemas.openxmlformats.org/drawingml/2006/main">
                        <a:graphicData uri="http://schemas.microsoft.com/office/word/2010/wordprocessingShape">
                          <wps:wsp>
                            <wps:cNvSpPr txBox="1"/>
                            <wps:spPr>
                              <a:xfrm>
                                <a:off x="0" y="0"/>
                                <a:ext cx="14922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34315" cy="175895"/>
                      <wp:effectExtent l="0" t="0" r="0" b="0"/>
                      <wp:wrapNone/>
                      <wp:docPr id="312" name="Frame311"/>
                      <a:graphic xmlns:a="http://schemas.openxmlformats.org/drawingml/2006/main">
                        <a:graphicData uri="http://schemas.microsoft.com/office/word/2010/wordprocessingShape">
                          <wps:wsp>
                            <wps:cNvSpPr txBox="1"/>
                            <wps:spPr>
                              <a:xfrm>
                                <a:off x="0" y="0"/>
                                <a:ext cx="23431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895"/>
                      <wp:effectExtent l="0" t="0" r="0" b="0"/>
                      <wp:wrapNone/>
                      <wp:docPr id="313" name="Frame31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25425" cy="175895"/>
                      <wp:effectExtent l="0" t="0" r="0" b="0"/>
                      <wp:wrapNone/>
                      <wp:docPr id="314" name="Frame313"/>
                      <a:graphic xmlns:a="http://schemas.openxmlformats.org/drawingml/2006/main">
                        <a:graphicData uri="http://schemas.microsoft.com/office/word/2010/wordprocessingShape">
                          <wps:wsp>
                            <wps:cNvSpPr txBox="1"/>
                            <wps:spPr>
                              <a:xfrm>
                                <a:off x="0" y="0"/>
                                <a:ext cx="22542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89560" cy="175895"/>
                      <wp:effectExtent l="0" t="0" r="0" b="0"/>
                      <wp:wrapNone/>
                      <wp:docPr id="315" name="Frame314"/>
                      <a:graphic xmlns:a="http://schemas.openxmlformats.org/drawingml/2006/main">
                        <a:graphicData uri="http://schemas.microsoft.com/office/word/2010/wordprocessingShape">
                          <wps:wsp>
                            <wps:cNvSpPr txBox="1"/>
                            <wps:spPr>
                              <a:xfrm>
                                <a:off x="0" y="0"/>
                                <a:ext cx="2895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895"/>
                      <wp:effectExtent l="0" t="0" r="0" b="0"/>
                      <wp:wrapNone/>
                      <wp:docPr id="316" name="Frame31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33045" cy="175895"/>
                      <wp:effectExtent l="0" t="0" r="0" b="0"/>
                      <wp:wrapNone/>
                      <wp:docPr id="317" name="Frame316"/>
                      <a:graphic xmlns:a="http://schemas.openxmlformats.org/drawingml/2006/main">
                        <a:graphicData uri="http://schemas.microsoft.com/office/word/2010/wordprocessingShape">
                          <wps:wsp>
                            <wps:cNvSpPr txBox="1"/>
                            <wps:spPr>
                              <a:xfrm>
                                <a:off x="0" y="0"/>
                                <a:ext cx="23304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82270" cy="175895"/>
                      <wp:effectExtent l="0" t="0" r="0" b="0"/>
                      <wp:wrapNone/>
                      <wp:docPr id="318" name="Frame317"/>
                      <a:graphic xmlns:a="http://schemas.openxmlformats.org/drawingml/2006/main">
                        <a:graphicData uri="http://schemas.microsoft.com/office/word/2010/wordprocessingShape">
                          <wps:wsp>
                            <wps:cNvSpPr txBox="1"/>
                            <wps:spPr>
                              <a:xfrm>
                                <a:off x="0" y="0"/>
                                <a:ext cx="38227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895"/>
                      <wp:effectExtent l="0" t="0" r="0" b="0"/>
                      <wp:wrapNone/>
                      <wp:docPr id="319" name="Frame31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9225" cy="175895"/>
                      <wp:effectExtent l="0" t="0" r="0" b="0"/>
                      <wp:wrapNone/>
                      <wp:docPr id="320" name="Frame319"/>
                      <a:graphic xmlns:a="http://schemas.openxmlformats.org/drawingml/2006/main">
                        <a:graphicData uri="http://schemas.microsoft.com/office/word/2010/wordprocessingShape">
                          <wps:wsp>
                            <wps:cNvSpPr txBox="1"/>
                            <wps:spPr>
                              <a:xfrm>
                                <a:off x="0" y="0"/>
                                <a:ext cx="14922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34315" cy="175895"/>
                      <wp:effectExtent l="0" t="0" r="0" b="0"/>
                      <wp:wrapNone/>
                      <wp:docPr id="321" name="Frame320"/>
                      <a:graphic xmlns:a="http://schemas.openxmlformats.org/drawingml/2006/main">
                        <a:graphicData uri="http://schemas.microsoft.com/office/word/2010/wordprocessingShape">
                          <wps:wsp>
                            <wps:cNvSpPr txBox="1"/>
                            <wps:spPr>
                              <a:xfrm>
                                <a:off x="0" y="0"/>
                                <a:ext cx="23431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895"/>
                      <wp:effectExtent l="0" t="0" r="0" b="0"/>
                      <wp:wrapNone/>
                      <wp:docPr id="322" name="Frame32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9550" cy="175895"/>
                      <wp:effectExtent l="0" t="0" r="0" b="0"/>
                      <wp:wrapNone/>
                      <wp:docPr id="323" name="Frame322"/>
                      <a:graphic xmlns:a="http://schemas.openxmlformats.org/drawingml/2006/main">
                        <a:graphicData uri="http://schemas.microsoft.com/office/word/2010/wordprocessingShape">
                          <wps:wsp>
                            <wps:cNvSpPr txBox="1"/>
                            <wps:spPr>
                              <a:xfrm>
                                <a:off x="0" y="0"/>
                                <a:ext cx="20955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28320" cy="175895"/>
                      <wp:effectExtent l="0" t="0" r="0" b="0"/>
                      <wp:wrapNone/>
                      <wp:docPr id="324" name="Frame323"/>
                      <a:graphic xmlns:a="http://schemas.openxmlformats.org/drawingml/2006/main">
                        <a:graphicData uri="http://schemas.microsoft.com/office/word/2010/wordprocessingShape">
                          <wps:wsp>
                            <wps:cNvSpPr txBox="1"/>
                            <wps:spPr>
                              <a:xfrm>
                                <a:off x="0" y="0"/>
                                <a:ext cx="52832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1853"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2785" w:type="dxa"/>
            <w:gridSpan w:val="7"/>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Fit to Win program</w:t>
            </w:r>
          </w:p>
        </w:tc>
        <w:tc>
          <w:tcPr>
            <w:tcW w:w="346" w:type="dxa"/>
            <w:tcBorders/>
            <w:vAlign w:val="center"/>
          </w:tcPr>
          <w:p>
            <w:pPr>
              <w:pStyle w:val="TableContents"/>
              <w:bidi w:val="0"/>
              <w:spacing w:before="1"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2721" w:type="dxa"/>
            <w:gridSpan w:val="7"/>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Other Restructuring</w:t>
            </w:r>
          </w:p>
        </w:tc>
        <w:tc>
          <w:tcPr>
            <w:tcW w:w="346" w:type="dxa"/>
            <w:tcBorders/>
            <w:vAlign w:val="center"/>
          </w:tcPr>
          <w:p>
            <w:pPr>
              <w:pStyle w:val="TableContents"/>
              <w:bidi w:val="0"/>
              <w:spacing w:before="1" w:after="0"/>
              <w:ind w:left="0" w:right="0" w:hanging="0"/>
              <w:jc w:val="left"/>
              <w:rPr/>
            </w:pPr>
            <w:r>
              <w:rPr/>
              <w:t>​</w:t>
            </w:r>
          </w:p>
        </w:tc>
        <w:tc>
          <w:tcPr>
            <w:tcW w:w="330" w:type="dxa"/>
            <w:tcBorders/>
            <w:vAlign w:val="center"/>
          </w:tcPr>
          <w:p>
            <w:pPr>
              <w:pStyle w:val="TableContents"/>
              <w:bidi w:val="0"/>
              <w:spacing w:before="1" w:after="0"/>
              <w:ind w:left="0" w:right="0" w:hanging="0"/>
              <w:jc w:val="left"/>
              <w:rPr/>
            </w:pPr>
            <w:r>
              <w:rPr/>
              <w:t>​</w:t>
            </w:r>
          </w:p>
        </w:tc>
        <w:tc>
          <w:tcPr>
            <w:tcW w:w="832" w:type="dxa"/>
            <w:tcBorders/>
            <w:vAlign w:val="center"/>
          </w:tcPr>
          <w:p>
            <w:pPr>
              <w:pStyle w:val="TableContents"/>
              <w:bidi w:val="0"/>
              <w:spacing w:before="1" w:after="0"/>
              <w:ind w:left="0" w:right="0" w:hanging="0"/>
              <w:jc w:val="left"/>
              <w:rPr/>
            </w:pPr>
            <w:r>
              <w:rPr/>
              <w:t>​</w:t>
            </w:r>
          </w:p>
        </w:tc>
      </w:tr>
      <w:tr>
        <w:trPr/>
        <w:tc>
          <w:tcPr>
            <w:tcW w:w="1853"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811"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1" w:after="0"/>
              <w:ind w:left="0" w:right="0" w:hanging="0"/>
              <w:jc w:val="center"/>
              <w:rPr/>
            </w:pPr>
            <w:r>
              <w:rPr/>
              <w:t>​</w:t>
            </w:r>
          </w:p>
        </w:tc>
        <w:tc>
          <w:tcPr>
            <w:tcW w:w="969"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46" w:type="dxa"/>
            <w:tcBorders/>
            <w:vAlign w:val="center"/>
          </w:tcPr>
          <w:p>
            <w:pPr>
              <w:pStyle w:val="TableContents"/>
              <w:bidi w:val="0"/>
              <w:spacing w:before="1" w:after="0"/>
              <w:ind w:left="0" w:right="0" w:hanging="0"/>
              <w:jc w:val="center"/>
              <w:rPr/>
            </w:pPr>
            <w:r>
              <w:rPr/>
              <w:t>​</w:t>
            </w:r>
          </w:p>
        </w:tc>
        <w:tc>
          <w:tcPr>
            <w:tcW w:w="604"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1" w:after="0"/>
              <w:ind w:left="0" w:right="0" w:hanging="0"/>
              <w:jc w:val="left"/>
              <w:rPr/>
            </w:pPr>
            <w:r>
              <w:rPr/>
              <w:t>​</w:t>
            </w:r>
          </w:p>
        </w:tc>
        <w:tc>
          <w:tcPr>
            <w:tcW w:w="811"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1" w:after="0"/>
              <w:ind w:left="0" w:right="0" w:hanging="0"/>
              <w:jc w:val="center"/>
              <w:rPr/>
            </w:pPr>
            <w:r>
              <w:rPr/>
              <w:t>​</w:t>
            </w:r>
          </w:p>
        </w:tc>
        <w:tc>
          <w:tcPr>
            <w:tcW w:w="969"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46" w:type="dxa"/>
            <w:tcBorders/>
            <w:vAlign w:val="center"/>
          </w:tcPr>
          <w:p>
            <w:pPr>
              <w:pStyle w:val="TableContents"/>
              <w:bidi w:val="0"/>
              <w:spacing w:before="1" w:after="0"/>
              <w:ind w:left="0" w:right="0" w:hanging="0"/>
              <w:jc w:val="center"/>
              <w:rPr/>
            </w:pPr>
            <w:r>
              <w:rPr/>
              <w:t>​</w:t>
            </w:r>
          </w:p>
        </w:tc>
        <w:tc>
          <w:tcPr>
            <w:tcW w:w="604"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1" w:after="0"/>
              <w:ind w:left="0" w:right="0" w:hanging="0"/>
              <w:jc w:val="center"/>
              <w:rPr/>
            </w:pPr>
            <w:r>
              <w:rPr/>
              <w:t>​</w:t>
            </w:r>
          </w:p>
        </w:tc>
        <w:tc>
          <w:tcPr>
            <w:tcW w:w="1162"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53"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1" w:after="0"/>
              <w:ind w:left="0" w:right="0" w:hanging="0"/>
              <w:jc w:val="center"/>
              <w:rPr/>
            </w:pPr>
            <w:r>
              <w:rPr/>
              <w:t>  ​ ​ ​</w:t>
            </w:r>
          </w:p>
        </w:tc>
        <w:tc>
          <w:tcPr>
            <w:tcW w:w="969"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Impairment </w:t>
            </w:r>
          </w:p>
        </w:tc>
        <w:tc>
          <w:tcPr>
            <w:tcW w:w="346" w:type="dxa"/>
            <w:tcBorders/>
            <w:vAlign w:val="center"/>
          </w:tcPr>
          <w:p>
            <w:pPr>
              <w:pStyle w:val="TableContents"/>
              <w:bidi w:val="0"/>
              <w:spacing w:before="1" w:after="0"/>
              <w:ind w:left="0" w:right="0" w:hanging="0"/>
              <w:jc w:val="center"/>
              <w:rPr/>
            </w:pPr>
            <w:r>
              <w:rPr/>
              <w:t>  ​ ​ ​</w:t>
            </w:r>
          </w:p>
        </w:tc>
        <w:tc>
          <w:tcPr>
            <w:tcW w:w="604"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Exit Costs</w:t>
            </w:r>
          </w:p>
        </w:tc>
        <w:tc>
          <w:tcPr>
            <w:tcW w:w="346" w:type="dxa"/>
            <w:tcBorders/>
            <w:vAlign w:val="center"/>
          </w:tcPr>
          <w:p>
            <w:pPr>
              <w:pStyle w:val="TableContents"/>
              <w:bidi w:val="0"/>
              <w:spacing w:before="1" w:after="0"/>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1" w:after="0"/>
              <w:ind w:left="0" w:right="0" w:hanging="0"/>
              <w:jc w:val="center"/>
              <w:rPr/>
            </w:pPr>
            <w:r>
              <w:rPr/>
              <w:t>  ​ ​ ​</w:t>
            </w:r>
          </w:p>
        </w:tc>
        <w:tc>
          <w:tcPr>
            <w:tcW w:w="969"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Impairment </w:t>
            </w:r>
          </w:p>
        </w:tc>
        <w:tc>
          <w:tcPr>
            <w:tcW w:w="346" w:type="dxa"/>
            <w:tcBorders/>
            <w:vAlign w:val="center"/>
          </w:tcPr>
          <w:p>
            <w:pPr>
              <w:pStyle w:val="TableContents"/>
              <w:bidi w:val="0"/>
              <w:spacing w:before="1" w:after="0"/>
              <w:ind w:left="0" w:right="0" w:hanging="0"/>
              <w:jc w:val="center"/>
              <w:rPr/>
            </w:pPr>
            <w:r>
              <w:rPr/>
              <w:t>  ​ ​ ​</w:t>
            </w:r>
          </w:p>
        </w:tc>
        <w:tc>
          <w:tcPr>
            <w:tcW w:w="604"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Exit Costs</w:t>
            </w:r>
          </w:p>
        </w:tc>
        <w:tc>
          <w:tcPr>
            <w:tcW w:w="346" w:type="dxa"/>
            <w:tcBorders/>
            <w:vAlign w:val="center"/>
          </w:tcPr>
          <w:p>
            <w:pPr>
              <w:pStyle w:val="TableContents"/>
              <w:bidi w:val="0"/>
              <w:spacing w:before="1" w:after="0"/>
              <w:ind w:left="0" w:right="0" w:hanging="0"/>
              <w:jc w:val="center"/>
              <w:rPr/>
            </w:pPr>
            <w:r>
              <w:rPr/>
              <w:t>  ​ ​ ​</w:t>
            </w:r>
          </w:p>
        </w:tc>
        <w:tc>
          <w:tcPr>
            <w:tcW w:w="116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Restructuring</w:t>
            </w:r>
          </w:p>
        </w:tc>
      </w:tr>
      <w:tr>
        <w:trPr/>
        <w:tc>
          <w:tcPr>
            <w:tcW w:w="1853"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Balance at April 1, 2025</w:t>
            </w:r>
          </w:p>
        </w:tc>
        <w:tc>
          <w:tcPr>
            <w:tcW w:w="346" w:type="dxa"/>
            <w:tcBorders/>
            <w:shd w:fill="CCEEFF" w:val="clear"/>
            <w:vAlign w:val="center"/>
          </w:tcPr>
          <w:p>
            <w:pPr>
              <w:pStyle w:val="TableContents"/>
              <w:bidi w:val="0"/>
              <w:spacing w:before="1" w:after="0"/>
              <w:ind w:left="0" w:right="0" w:hanging="0"/>
              <w:jc w:val="left"/>
              <w:rPr/>
            </w:pPr>
            <w:r>
              <w:rPr/>
              <w:t>​</w:t>
            </w:r>
          </w:p>
        </w:tc>
        <w:tc>
          <w:tcPr>
            <w:tcW w:w="29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1" w:after="0"/>
              <w:ind w:left="0" w:right="0" w:hanging="0"/>
              <w:jc w:val="right"/>
              <w:rPr/>
            </w:pPr>
            <w:r>
              <w:rPr/>
              <w:t>​</w:t>
            </w:r>
          </w:p>
        </w:tc>
        <w:tc>
          <w:tcPr>
            <w:tcW w:w="295"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1" w:after="0"/>
              <w:ind w:left="0" w:right="0" w:hanging="0"/>
              <w:jc w:val="left"/>
              <w:rPr/>
            </w:pPr>
            <w:r>
              <w:rPr/>
              <w:t>​</w:t>
            </w:r>
          </w:p>
        </w:tc>
        <w:tc>
          <w:tcPr>
            <w:tcW w:w="355"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1" w:after="0"/>
              <w:ind w:left="0" w:right="0" w:hanging="0"/>
              <w:jc w:val="right"/>
              <w:rPr/>
            </w:pPr>
            <w:r>
              <w:rPr/>
              <w:t>​</w:t>
            </w:r>
          </w:p>
        </w:tc>
        <w:tc>
          <w:tcPr>
            <w:tcW w:w="367"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shd w:fill="CCEEFF" w:val="clear"/>
            <w:vAlign w:val="center"/>
          </w:tcPr>
          <w:p>
            <w:pPr>
              <w:pStyle w:val="TableContents"/>
              <w:bidi w:val="0"/>
              <w:spacing w:before="1" w:after="0"/>
              <w:ind w:left="0" w:right="0" w:hanging="0"/>
              <w:jc w:val="left"/>
              <w:rPr/>
            </w:pPr>
            <w:r>
              <w:rPr/>
              <w:t>​</w:t>
            </w:r>
          </w:p>
        </w:tc>
        <w:tc>
          <w:tcPr>
            <w:tcW w:w="36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1" w:after="0"/>
              <w:ind w:left="0" w:right="0" w:hanging="0"/>
              <w:jc w:val="right"/>
              <w:rPr/>
            </w:pPr>
            <w:r>
              <w:rPr/>
              <w:t>​</w:t>
            </w:r>
          </w:p>
        </w:tc>
        <w:tc>
          <w:tcPr>
            <w:tcW w:w="330"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1853"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46" w:type="dxa"/>
            <w:tcBorders/>
            <w:vAlign w:val="center"/>
          </w:tcPr>
          <w:p>
            <w:pPr>
              <w:pStyle w:val="TableContents"/>
              <w:bidi w:val="0"/>
              <w:spacing w:before="1" w:after="0"/>
              <w:ind w:left="0" w:right="0" w:hanging="0"/>
              <w:jc w:val="left"/>
              <w:rPr/>
            </w:pPr>
            <w:r>
              <w:rPr/>
              <w:t>​</w:t>
            </w:r>
          </w:p>
        </w:tc>
        <w:tc>
          <w:tcPr>
            <w:tcW w:w="291" w:type="dxa"/>
            <w:tcBorders/>
            <w:vAlign w:val="center"/>
          </w:tcPr>
          <w:p>
            <w:pPr>
              <w:pStyle w:val="TableContents"/>
              <w:bidi w:val="0"/>
              <w:spacing w:before="1" w:after="0"/>
              <w:ind w:left="0" w:right="0" w:hanging="0"/>
              <w:jc w:val="left"/>
              <w:rPr/>
            </w:pPr>
            <w:r>
              <w:rPr/>
              <w:t>​</w:t>
            </w:r>
          </w:p>
        </w:tc>
        <w:tc>
          <w:tcPr>
            <w:tcW w:w="520"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1" w:after="0"/>
              <w:ind w:left="0" w:right="0" w:hanging="0"/>
              <w:jc w:val="right"/>
              <w:rPr/>
            </w:pPr>
            <w:r>
              <w:rPr/>
              <w:t>​</w:t>
            </w:r>
          </w:p>
        </w:tc>
        <w:tc>
          <w:tcPr>
            <w:tcW w:w="295" w:type="dxa"/>
            <w:tcBorders/>
            <w:vAlign w:val="center"/>
          </w:tcPr>
          <w:p>
            <w:pPr>
              <w:pStyle w:val="TableContents"/>
              <w:bidi w:val="0"/>
              <w:spacing w:before="1" w:after="0"/>
              <w:ind w:left="0" w:right="0" w:hanging="0"/>
              <w:jc w:val="left"/>
              <w:rPr/>
            </w:pPr>
            <w:r>
              <w:rPr/>
              <w:t>​</w:t>
            </w:r>
          </w:p>
        </w:tc>
        <w:tc>
          <w:tcPr>
            <w:tcW w:w="674"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1" w:after="0"/>
              <w:ind w:left="0" w:right="0" w:hanging="0"/>
              <w:jc w:val="right"/>
              <w:rPr/>
            </w:pPr>
            <w:r>
              <w:rPr/>
              <w:t>​</w:t>
            </w:r>
          </w:p>
        </w:tc>
        <w:tc>
          <w:tcPr>
            <w:tcW w:w="235" w:type="dxa"/>
            <w:tcBorders/>
            <w:vAlign w:val="center"/>
          </w:tcPr>
          <w:p>
            <w:pPr>
              <w:pStyle w:val="TableContents"/>
              <w:bidi w:val="0"/>
              <w:spacing w:before="1" w:after="0"/>
              <w:ind w:left="0" w:right="0" w:hanging="0"/>
              <w:jc w:val="left"/>
              <w:rPr/>
            </w:pPr>
            <w:r>
              <w:rPr/>
              <w:t>​</w:t>
            </w:r>
          </w:p>
        </w:tc>
        <w:tc>
          <w:tcPr>
            <w:tcW w:w="3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1" w:after="0"/>
              <w:ind w:left="0" w:right="0" w:hanging="0"/>
              <w:jc w:val="left"/>
              <w:rPr/>
            </w:pPr>
            <w:r>
              <w:rPr/>
              <w:t>​</w:t>
            </w:r>
          </w:p>
        </w:tc>
        <w:tc>
          <w:tcPr>
            <w:tcW w:w="355" w:type="dxa"/>
            <w:tcBorders/>
            <w:vAlign w:val="center"/>
          </w:tcPr>
          <w:p>
            <w:pPr>
              <w:pStyle w:val="TableContents"/>
              <w:bidi w:val="0"/>
              <w:spacing w:before="1" w:after="0"/>
              <w:ind w:left="0" w:right="0" w:hanging="0"/>
              <w:jc w:val="left"/>
              <w:rPr/>
            </w:pPr>
            <w:r>
              <w:rPr/>
              <w:t>​</w:t>
            </w:r>
          </w:p>
        </w:tc>
        <w:tc>
          <w:tcPr>
            <w:tcW w:w="456"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367" w:type="dxa"/>
            <w:tcBorders/>
            <w:vAlign w:val="center"/>
          </w:tcPr>
          <w:p>
            <w:pPr>
              <w:pStyle w:val="TableContents"/>
              <w:bidi w:val="0"/>
              <w:spacing w:before="1" w:after="0"/>
              <w:ind w:left="0" w:right="0" w:hanging="0"/>
              <w:jc w:val="left"/>
              <w:rPr/>
            </w:pPr>
            <w:r>
              <w:rPr/>
              <w:t>​</w:t>
            </w:r>
          </w:p>
        </w:tc>
        <w:tc>
          <w:tcPr>
            <w:tcW w:w="602"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35" w:type="dxa"/>
            <w:tcBorders/>
            <w:vAlign w:val="center"/>
          </w:tcPr>
          <w:p>
            <w:pPr>
              <w:pStyle w:val="TableContents"/>
              <w:bidi w:val="0"/>
              <w:spacing w:before="1" w:after="0"/>
              <w:ind w:left="0" w:right="0" w:hanging="0"/>
              <w:jc w:val="left"/>
              <w:rPr/>
            </w:pPr>
            <w:r>
              <w:rPr/>
              <w:t>​</w:t>
            </w:r>
          </w:p>
        </w:tc>
        <w:tc>
          <w:tcPr>
            <w:tcW w:w="369"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330" w:type="dxa"/>
            <w:tcBorders/>
            <w:vAlign w:val="center"/>
          </w:tcPr>
          <w:p>
            <w:pPr>
              <w:pStyle w:val="TableContents"/>
              <w:bidi w:val="0"/>
              <w:spacing w:before="1" w:after="0"/>
              <w:ind w:left="0" w:right="0" w:hanging="0"/>
              <w:jc w:val="left"/>
              <w:rPr/>
            </w:pPr>
            <w:r>
              <w:rPr/>
              <w:t>​</w:t>
            </w:r>
          </w:p>
        </w:tc>
        <w:tc>
          <w:tcPr>
            <w:tcW w:w="832"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1853"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Write-down of assets to net realizable value</w:t>
            </w:r>
          </w:p>
        </w:tc>
        <w:tc>
          <w:tcPr>
            <w:tcW w:w="346" w:type="dxa"/>
            <w:tcBorders/>
            <w:shd w:fill="CCEEFF" w:val="clear"/>
            <w:vAlign w:val="center"/>
          </w:tcPr>
          <w:p>
            <w:pPr>
              <w:pStyle w:val="TableContents"/>
              <w:bidi w:val="0"/>
              <w:spacing w:before="1" w:after="0"/>
              <w:ind w:left="0" w:right="0" w:hanging="0"/>
              <w:jc w:val="left"/>
              <w:rPr/>
            </w:pPr>
            <w:r>
              <w:rPr/>
              <w:t>​</w:t>
            </w:r>
          </w:p>
        </w:tc>
        <w:tc>
          <w:tcPr>
            <w:tcW w:w="291" w:type="dxa"/>
            <w:tcBorders/>
            <w:shd w:fill="CCEEFF" w:val="clear"/>
            <w:vAlign w:val="center"/>
          </w:tcPr>
          <w:p>
            <w:pPr>
              <w:pStyle w:val="TableContents"/>
              <w:bidi w:val="0"/>
              <w:spacing w:before="1" w:after="0"/>
              <w:ind w:left="0" w:right="0" w:hanging="0"/>
              <w:jc w:val="left"/>
              <w:rPr/>
            </w:pPr>
            <w:r>
              <w:rPr/>
              <w:t>​</w:t>
            </w:r>
          </w:p>
        </w:tc>
        <w:tc>
          <w:tcPr>
            <w:tcW w:w="520"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95" w:type="dxa"/>
            <w:tcBorders/>
            <w:shd w:fill="CCEEFF" w:val="clear"/>
            <w:vAlign w:val="center"/>
          </w:tcPr>
          <w:p>
            <w:pPr>
              <w:pStyle w:val="TableContents"/>
              <w:bidi w:val="0"/>
              <w:spacing w:before="1" w:after="0"/>
              <w:ind w:left="0" w:right="0" w:hanging="0"/>
              <w:jc w:val="left"/>
              <w:rPr/>
            </w:pPr>
            <w:r>
              <w:rPr/>
              <w:t>​</w:t>
            </w:r>
          </w:p>
        </w:tc>
        <w:tc>
          <w:tcPr>
            <w:tcW w:w="674"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shd w:fill="CCEEFF" w:val="clear"/>
            <w:vAlign w:val="center"/>
          </w:tcPr>
          <w:p>
            <w:pPr>
              <w:pStyle w:val="TableContents"/>
              <w:bidi w:val="0"/>
              <w:spacing w:before="1" w:after="0"/>
              <w:ind w:left="0" w:right="0" w:hanging="0"/>
              <w:jc w:val="left"/>
              <w:rPr/>
            </w:pPr>
            <w:r>
              <w:rPr/>
              <w:t>​</w:t>
            </w:r>
          </w:p>
        </w:tc>
        <w:tc>
          <w:tcPr>
            <w:tcW w:w="369"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55" w:type="dxa"/>
            <w:tcBorders/>
            <w:shd w:fill="CCEEFF" w:val="clear"/>
            <w:vAlign w:val="center"/>
          </w:tcPr>
          <w:p>
            <w:pPr>
              <w:pStyle w:val="TableContents"/>
              <w:bidi w:val="0"/>
              <w:spacing w:before="1" w:after="0"/>
              <w:ind w:left="0" w:right="0" w:hanging="0"/>
              <w:jc w:val="left"/>
              <w:rPr/>
            </w:pPr>
            <w:r>
              <w:rPr/>
              <w:t>​</w:t>
            </w:r>
          </w:p>
        </w:tc>
        <w:tc>
          <w:tcPr>
            <w:tcW w:w="456"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67" w:type="dxa"/>
            <w:tcBorders/>
            <w:shd w:fill="CCEEFF" w:val="clear"/>
            <w:vAlign w:val="center"/>
          </w:tcPr>
          <w:p>
            <w:pPr>
              <w:pStyle w:val="TableContents"/>
              <w:bidi w:val="0"/>
              <w:spacing w:before="1" w:after="0"/>
              <w:ind w:left="0" w:right="0" w:hanging="0"/>
              <w:jc w:val="left"/>
              <w:rPr/>
            </w:pPr>
            <w:r>
              <w:rPr/>
              <w:t>​</w:t>
            </w:r>
          </w:p>
        </w:tc>
        <w:tc>
          <w:tcPr>
            <w:tcW w:w="602"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shd w:fill="CCEEFF" w:val="clear"/>
            <w:vAlign w:val="center"/>
          </w:tcPr>
          <w:p>
            <w:pPr>
              <w:pStyle w:val="TableContents"/>
              <w:bidi w:val="0"/>
              <w:spacing w:before="1" w:after="0"/>
              <w:ind w:left="0" w:right="0" w:hanging="0"/>
              <w:jc w:val="left"/>
              <w:rPr/>
            </w:pPr>
            <w:r>
              <w:rPr/>
              <w:t>​</w:t>
            </w:r>
          </w:p>
        </w:tc>
        <w:tc>
          <w:tcPr>
            <w:tcW w:w="369"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30" w:type="dxa"/>
            <w:tcBorders/>
            <w:shd w:fill="CCEEFF" w:val="clear"/>
            <w:vAlign w:val="center"/>
          </w:tcPr>
          <w:p>
            <w:pPr>
              <w:pStyle w:val="TableContents"/>
              <w:bidi w:val="0"/>
              <w:spacing w:before="1" w:after="0"/>
              <w:ind w:left="0" w:right="0" w:hanging="0"/>
              <w:jc w:val="left"/>
              <w:rPr/>
            </w:pPr>
            <w:r>
              <w:rPr/>
              <w:t>​</w:t>
            </w:r>
          </w:p>
        </w:tc>
        <w:tc>
          <w:tcPr>
            <w:tcW w:w="832"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853"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cash paid, principally severance and related benefits</w:t>
            </w:r>
          </w:p>
        </w:tc>
        <w:tc>
          <w:tcPr>
            <w:tcW w:w="346" w:type="dxa"/>
            <w:tcBorders/>
            <w:vAlign w:val="center"/>
          </w:tcPr>
          <w:p>
            <w:pPr>
              <w:pStyle w:val="TableContents"/>
              <w:bidi w:val="0"/>
              <w:spacing w:before="1" w:after="0"/>
              <w:ind w:left="0" w:right="0" w:hanging="0"/>
              <w:jc w:val="left"/>
              <w:rPr/>
            </w:pPr>
            <w:r>
              <w:rPr/>
              <w:t>​</w:t>
            </w:r>
          </w:p>
        </w:tc>
        <w:tc>
          <w:tcPr>
            <w:tcW w:w="291" w:type="dxa"/>
            <w:tcBorders/>
            <w:vAlign w:val="center"/>
          </w:tcPr>
          <w:p>
            <w:pPr>
              <w:pStyle w:val="TableContents"/>
              <w:bidi w:val="0"/>
              <w:spacing w:before="1" w:after="0"/>
              <w:ind w:left="0" w:right="0" w:hanging="0"/>
              <w:jc w:val="left"/>
              <w:rPr/>
            </w:pPr>
            <w:r>
              <w:rPr/>
              <w:t> </w:t>
            </w:r>
          </w:p>
        </w:tc>
        <w:tc>
          <w:tcPr>
            <w:tcW w:w="520"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1" w:after="0"/>
              <w:ind w:left="0" w:right="0" w:hanging="0"/>
              <w:jc w:val="right"/>
              <w:rPr/>
            </w:pPr>
            <w:r>
              <w:rPr/>
              <w:t>​</w:t>
            </w:r>
          </w:p>
        </w:tc>
        <w:tc>
          <w:tcPr>
            <w:tcW w:w="295" w:type="dxa"/>
            <w:tcBorders/>
            <w:vAlign w:val="center"/>
          </w:tcPr>
          <w:p>
            <w:pPr>
              <w:pStyle w:val="TableContents"/>
              <w:bidi w:val="0"/>
              <w:spacing w:before="1" w:after="0"/>
              <w:ind w:left="0" w:right="0" w:hanging="0"/>
              <w:jc w:val="left"/>
              <w:rPr/>
            </w:pPr>
            <w:r>
              <w:rPr/>
              <w:t>​</w:t>
            </w:r>
          </w:p>
        </w:tc>
        <w:tc>
          <w:tcPr>
            <w:tcW w:w="674"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35" w:type="dxa"/>
            <w:tcBorders/>
            <w:vAlign w:val="center"/>
          </w:tcPr>
          <w:p>
            <w:pPr>
              <w:pStyle w:val="TableContents"/>
              <w:bidi w:val="0"/>
              <w:spacing w:before="1" w:after="0"/>
              <w:ind w:left="0" w:right="0" w:hanging="0"/>
              <w:jc w:val="left"/>
              <w:rPr/>
            </w:pPr>
            <w:r>
              <w:rPr/>
              <w:t>​</w:t>
            </w:r>
          </w:p>
        </w:tc>
        <w:tc>
          <w:tcPr>
            <w:tcW w:w="3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1" w:after="0"/>
              <w:ind w:left="0" w:right="0" w:hanging="0"/>
              <w:jc w:val="left"/>
              <w:rPr/>
            </w:pPr>
            <w:r>
              <w:rPr/>
              <w:t>​</w:t>
            </w:r>
          </w:p>
        </w:tc>
        <w:tc>
          <w:tcPr>
            <w:tcW w:w="355" w:type="dxa"/>
            <w:tcBorders/>
            <w:vAlign w:val="center"/>
          </w:tcPr>
          <w:p>
            <w:pPr>
              <w:pStyle w:val="TableContents"/>
              <w:bidi w:val="0"/>
              <w:spacing w:before="1" w:after="0"/>
              <w:ind w:left="0" w:right="0" w:hanging="0"/>
              <w:jc w:val="left"/>
              <w:rPr/>
            </w:pPr>
            <w:r>
              <w:rPr/>
              <w:t> </w:t>
            </w:r>
          </w:p>
        </w:tc>
        <w:tc>
          <w:tcPr>
            <w:tcW w:w="45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1" w:after="0"/>
              <w:ind w:left="0" w:right="0" w:hanging="0"/>
              <w:jc w:val="right"/>
              <w:rPr/>
            </w:pPr>
            <w:r>
              <w:rPr/>
              <w:t>​</w:t>
            </w:r>
          </w:p>
        </w:tc>
        <w:tc>
          <w:tcPr>
            <w:tcW w:w="367" w:type="dxa"/>
            <w:tcBorders/>
            <w:vAlign w:val="center"/>
          </w:tcPr>
          <w:p>
            <w:pPr>
              <w:pStyle w:val="TableContents"/>
              <w:bidi w:val="0"/>
              <w:spacing w:before="1" w:after="0"/>
              <w:ind w:left="0" w:right="0" w:hanging="0"/>
              <w:jc w:val="left"/>
              <w:rPr/>
            </w:pPr>
            <w:r>
              <w:rPr/>
              <w:t>​</w:t>
            </w:r>
          </w:p>
        </w:tc>
        <w:tc>
          <w:tcPr>
            <w:tcW w:w="602"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35" w:type="dxa"/>
            <w:tcBorders/>
            <w:vAlign w:val="center"/>
          </w:tcPr>
          <w:p>
            <w:pPr>
              <w:pStyle w:val="TableContents"/>
              <w:bidi w:val="0"/>
              <w:spacing w:before="1" w:after="0"/>
              <w:ind w:left="0" w:right="0" w:hanging="0"/>
              <w:jc w:val="left"/>
              <w:rPr/>
            </w:pPr>
            <w:r>
              <w:rPr/>
              <w:t>​</w:t>
            </w:r>
          </w:p>
        </w:tc>
        <w:tc>
          <w:tcPr>
            <w:tcW w:w="3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1" w:after="0"/>
              <w:ind w:left="0" w:right="0" w:hanging="0"/>
              <w:jc w:val="right"/>
              <w:rPr/>
            </w:pPr>
            <w:r>
              <w:rPr/>
              <w:t>​</w:t>
            </w:r>
          </w:p>
        </w:tc>
        <w:tc>
          <w:tcPr>
            <w:tcW w:w="330" w:type="dxa"/>
            <w:tcBorders/>
            <w:vAlign w:val="center"/>
          </w:tcPr>
          <w:p>
            <w:pPr>
              <w:pStyle w:val="TableContents"/>
              <w:bidi w:val="0"/>
              <w:spacing w:before="1" w:after="0"/>
              <w:ind w:left="0" w:right="0" w:hanging="0"/>
              <w:jc w:val="left"/>
              <w:rPr/>
            </w:pPr>
            <w:r>
              <w:rPr/>
              <w:t> </w:t>
            </w:r>
          </w:p>
        </w:tc>
        <w:tc>
          <w:tcPr>
            <w:tcW w:w="832"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853"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 including foreign exchange translation</w:t>
            </w:r>
          </w:p>
        </w:tc>
        <w:tc>
          <w:tcPr>
            <w:tcW w:w="346" w:type="dxa"/>
            <w:tcBorders/>
            <w:shd w:fill="CCEEFF" w:val="clear"/>
            <w:vAlign w:val="center"/>
          </w:tcPr>
          <w:p>
            <w:pPr>
              <w:pStyle w:val="TableContents"/>
              <w:bidi w:val="0"/>
              <w:spacing w:before="1"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1"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456"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602"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853"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vAlign w:val="center"/>
          </w:tcPr>
          <w:p>
            <w:pPr>
              <w:pStyle w:val="TableContents"/>
              <w:bidi w:val="0"/>
              <w:spacing w:before="1"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1" w:after="0"/>
              <w:ind w:left="0" w:right="0" w:hanging="0"/>
              <w:jc w:val="right"/>
              <w:rPr/>
            </w:pPr>
            <w:r>
              <w:rPr/>
              <w:t>​</w:t>
            </w:r>
          </w:p>
        </w:tc>
        <w:tc>
          <w:tcPr>
            <w:tcW w:w="295"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tcMar>
              <w:bottom w:w="28" w:type="dxa"/>
            </w:tcMar>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35"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9"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1"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6"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346" w:type="dxa"/>
            <w:tcBorders/>
            <w:vAlign w:val="center"/>
          </w:tcPr>
          <w:p>
            <w:pPr>
              <w:pStyle w:val="TableContents"/>
              <w:bidi w:val="0"/>
              <w:spacing w:before="1" w:after="0"/>
              <w:ind w:left="0" w:right="0" w:hanging="0"/>
              <w:jc w:val="right"/>
              <w:rPr/>
            </w:pPr>
            <w:r>
              <w:rPr/>
              <w:t>​</w:t>
            </w:r>
          </w:p>
        </w:tc>
        <w:tc>
          <w:tcPr>
            <w:tcW w:w="367"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tcMar>
              <w:bottom w:w="28" w:type="dxa"/>
            </w:tcMar>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35"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9"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46" w:type="dxa"/>
            <w:tcBorders/>
            <w:vAlign w:val="center"/>
          </w:tcPr>
          <w:p>
            <w:pPr>
              <w:pStyle w:val="TableContents"/>
              <w:bidi w:val="0"/>
              <w:spacing w:before="1" w:after="0"/>
              <w:ind w:left="0" w:right="0" w:hanging="0"/>
              <w:jc w:val="right"/>
              <w:rPr/>
            </w:pPr>
            <w:r>
              <w:rPr/>
              <w:t>​</w:t>
            </w:r>
          </w:p>
        </w:tc>
        <w:tc>
          <w:tcPr>
            <w:tcW w:w="330"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1" w:after="0"/>
              <w:ind w:left="0" w:right="60" w:hanging="0"/>
              <w:jc w:val="right"/>
              <w:rPr>
                <w:rFonts w:ascii="Times New Roman;Times;serif" w:hAnsi="Times New Roman;Times;serif"/>
                <w:sz w:val="20"/>
              </w:rPr>
            </w:pPr>
            <w:r>
              <w:rPr>
                <w:rFonts w:ascii="Times New Roman;Times;serif" w:hAnsi="Times New Roman;Times;serif"/>
                <w:sz w:val="20"/>
              </w:rPr>
              <w:t xml:space="preserve">86 </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Selected information related to the restructuring accruals for the six months ended June 30, 2026 and 2025 is as follows:</w:t>
      </w:r>
    </w:p>
    <w:p>
      <w:pPr>
        <w:pStyle w:val="TextBody"/>
        <w:bidi w:val="0"/>
        <w:spacing w:before="0" w:after="0"/>
        <w:ind w:left="0" w:right="0" w:hanging="0"/>
        <w:jc w:val="left"/>
        <w:rPr/>
      </w:pPr>
      <w:r>
        <w:rPr/>
        <w:t>​</w:t>
      </w:r>
    </w:p>
    <w:tbl>
      <w:tblPr>
        <w:tblW w:w="9877" w:type="dxa"/>
        <w:jc w:val="left"/>
        <w:tblInd w:w="0" w:type="dxa"/>
        <w:tblLayout w:type="fixed"/>
        <w:tblCellMar>
          <w:top w:w="0" w:type="dxa"/>
          <w:left w:w="0" w:type="dxa"/>
          <w:bottom w:w="0" w:type="dxa"/>
          <w:right w:w="0" w:type="dxa"/>
        </w:tblCellMar>
      </w:tblPr>
      <w:tblGrid>
        <w:gridCol w:w="4681"/>
        <w:gridCol w:w="346"/>
        <w:gridCol w:w="270"/>
        <w:gridCol w:w="541"/>
        <w:gridCol w:w="346"/>
        <w:gridCol w:w="381"/>
        <w:gridCol w:w="624"/>
        <w:gridCol w:w="346"/>
        <w:gridCol w:w="274"/>
        <w:gridCol w:w="566"/>
        <w:gridCol w:w="346"/>
        <w:gridCol w:w="330"/>
        <w:gridCol w:w="826"/>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972435" cy="175895"/>
                      <wp:effectExtent l="0" t="0" r="0" b="0"/>
                      <wp:wrapNone/>
                      <wp:docPr id="325" name="Frame324"/>
                      <a:graphic xmlns:a="http://schemas.openxmlformats.org/drawingml/2006/main">
                        <a:graphicData uri="http://schemas.microsoft.com/office/word/2010/wordprocessingShape">
                          <wps:wsp>
                            <wps:cNvSpPr txBox="1"/>
                            <wps:spPr>
                              <a:xfrm>
                                <a:off x="0" y="0"/>
                                <a:ext cx="29724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895"/>
                      <wp:effectExtent l="0" t="0" r="0" b="0"/>
                      <wp:wrapNone/>
                      <wp:docPr id="326" name="Frame32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71450" cy="175895"/>
                      <wp:effectExtent l="0" t="0" r="0" b="0"/>
                      <wp:wrapNone/>
                      <wp:docPr id="327" name="Frame326"/>
                      <a:graphic xmlns:a="http://schemas.openxmlformats.org/drawingml/2006/main">
                        <a:graphicData uri="http://schemas.microsoft.com/office/word/2010/wordprocessingShape">
                          <wps:wsp>
                            <wps:cNvSpPr txBox="1"/>
                            <wps:spPr>
                              <a:xfrm>
                                <a:off x="0" y="0"/>
                                <a:ext cx="17145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43535" cy="175895"/>
                      <wp:effectExtent l="0" t="0" r="0" b="0"/>
                      <wp:wrapNone/>
                      <wp:docPr id="328" name="Frame327"/>
                      <a:graphic xmlns:a="http://schemas.openxmlformats.org/drawingml/2006/main">
                        <a:graphicData uri="http://schemas.microsoft.com/office/word/2010/wordprocessingShape">
                          <wps:wsp>
                            <wps:cNvSpPr txBox="1"/>
                            <wps:spPr>
                              <a:xfrm>
                                <a:off x="0" y="0"/>
                                <a:ext cx="3435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895"/>
                      <wp:effectExtent l="0" t="0" r="0" b="0"/>
                      <wp:wrapNone/>
                      <wp:docPr id="329" name="Frame32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41935" cy="175895"/>
                      <wp:effectExtent l="0" t="0" r="0" b="0"/>
                      <wp:wrapNone/>
                      <wp:docPr id="330" name="Frame329"/>
                      <a:graphic xmlns:a="http://schemas.openxmlformats.org/drawingml/2006/main">
                        <a:graphicData uri="http://schemas.microsoft.com/office/word/2010/wordprocessingShape">
                          <wps:wsp>
                            <wps:cNvSpPr txBox="1"/>
                            <wps:spPr>
                              <a:xfrm>
                                <a:off x="0" y="0"/>
                                <a:ext cx="2419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96240" cy="175895"/>
                      <wp:effectExtent l="0" t="0" r="0" b="0"/>
                      <wp:wrapNone/>
                      <wp:docPr id="331" name="Frame330"/>
                      <a:graphic xmlns:a="http://schemas.openxmlformats.org/drawingml/2006/main">
                        <a:graphicData uri="http://schemas.microsoft.com/office/word/2010/wordprocessingShape">
                          <wps:wsp>
                            <wps:cNvSpPr txBox="1"/>
                            <wps:spPr>
                              <a:xfrm>
                                <a:off x="0" y="0"/>
                                <a:ext cx="39624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895"/>
                      <wp:effectExtent l="0" t="0" r="0" b="0"/>
                      <wp:wrapNone/>
                      <wp:docPr id="332" name="Frame33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73990" cy="175895"/>
                      <wp:effectExtent l="0" t="0" r="0" b="0"/>
                      <wp:wrapNone/>
                      <wp:docPr id="333" name="Frame332"/>
                      <a:graphic xmlns:a="http://schemas.openxmlformats.org/drawingml/2006/main">
                        <a:graphicData uri="http://schemas.microsoft.com/office/word/2010/wordprocessingShape">
                          <wps:wsp>
                            <wps:cNvSpPr txBox="1"/>
                            <wps:spPr>
                              <a:xfrm>
                                <a:off x="0" y="0"/>
                                <a:ext cx="17399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59410" cy="175895"/>
                      <wp:effectExtent l="0" t="0" r="0" b="0"/>
                      <wp:wrapNone/>
                      <wp:docPr id="334" name="Frame333"/>
                      <a:graphic xmlns:a="http://schemas.openxmlformats.org/drawingml/2006/main">
                        <a:graphicData uri="http://schemas.microsoft.com/office/word/2010/wordprocessingShape">
                          <wps:wsp>
                            <wps:cNvSpPr txBox="1"/>
                            <wps:spPr>
                              <a:xfrm>
                                <a:off x="0" y="0"/>
                                <a:ext cx="3594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895"/>
                      <wp:effectExtent l="0" t="0" r="0" b="0"/>
                      <wp:wrapNone/>
                      <wp:docPr id="335" name="Frame33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9550" cy="175895"/>
                      <wp:effectExtent l="0" t="0" r="0" b="0"/>
                      <wp:wrapNone/>
                      <wp:docPr id="336" name="Frame335"/>
                      <a:graphic xmlns:a="http://schemas.openxmlformats.org/drawingml/2006/main">
                        <a:graphicData uri="http://schemas.microsoft.com/office/word/2010/wordprocessingShape">
                          <wps:wsp>
                            <wps:cNvSpPr txBox="1"/>
                            <wps:spPr>
                              <a:xfrm>
                                <a:off x="0" y="0"/>
                                <a:ext cx="20955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24510" cy="175895"/>
                      <wp:effectExtent l="0" t="0" r="0" b="0"/>
                      <wp:wrapNone/>
                      <wp:docPr id="337" name="Frame336"/>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1" w:after="0"/>
              <w:ind w:left="0" w:right="0" w:hanging="0"/>
              <w:jc w:val="left"/>
              <w:rPr>
                <w:color w:val="0563C1"/>
              </w:rPr>
            </w:pPr>
            <w:r>
              <w:rPr>
                <w:color w:val="0563C1"/>
              </w:rPr>
              <w:t>​</w:t>
            </w:r>
          </w:p>
        </w:tc>
        <w:tc>
          <w:tcPr>
            <w:tcW w:w="346" w:type="dxa"/>
            <w:tcBorders/>
            <w:vAlign w:val="center"/>
          </w:tcPr>
          <w:p>
            <w:pPr>
              <w:pStyle w:val="TableContents"/>
              <w:bidi w:val="0"/>
              <w:spacing w:before="1"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1" w:after="0"/>
              <w:ind w:left="0" w:right="0" w:hanging="0"/>
              <w:jc w:val="center"/>
              <w:rPr/>
            </w:pPr>
            <w:r>
              <w:rPr/>
              <w:t>​</w:t>
            </w:r>
          </w:p>
        </w:tc>
        <w:tc>
          <w:tcPr>
            <w:tcW w:w="3078" w:type="dxa"/>
            <w:gridSpan w:val="7"/>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Fit to Win program</w:t>
            </w:r>
          </w:p>
        </w:tc>
        <w:tc>
          <w:tcPr>
            <w:tcW w:w="346" w:type="dxa"/>
            <w:tcBorders/>
            <w:vAlign w:val="center"/>
          </w:tcPr>
          <w:p>
            <w:pPr>
              <w:pStyle w:val="TableContents"/>
              <w:bidi w:val="0"/>
              <w:spacing w:before="1" w:after="0"/>
              <w:ind w:left="0" w:right="0" w:hanging="0"/>
              <w:jc w:val="left"/>
              <w:rPr/>
            </w:pPr>
            <w:r>
              <w:rPr/>
              <w:t>​</w:t>
            </w:r>
          </w:p>
        </w:tc>
        <w:tc>
          <w:tcPr>
            <w:tcW w:w="330" w:type="dxa"/>
            <w:tcBorders/>
            <w:vAlign w:val="center"/>
          </w:tcPr>
          <w:p>
            <w:pPr>
              <w:pStyle w:val="TableContents"/>
              <w:bidi w:val="0"/>
              <w:spacing w:before="1" w:after="0"/>
              <w:ind w:left="0" w:right="0" w:hanging="0"/>
              <w:jc w:val="center"/>
              <w:rPr/>
            </w:pPr>
            <w:r>
              <w:rPr/>
              <w:t>​</w:t>
            </w:r>
          </w:p>
        </w:tc>
        <w:tc>
          <w:tcPr>
            <w:tcW w:w="826" w:type="dxa"/>
            <w:tcBorders/>
            <w:vAlign w:val="center"/>
          </w:tcPr>
          <w:p>
            <w:pPr>
              <w:pStyle w:val="TableContents"/>
              <w:bidi w:val="0"/>
              <w:spacing w:before="1" w:after="0"/>
              <w:ind w:left="0" w:right="0" w:hanging="0"/>
              <w:jc w:val="left"/>
              <w:rPr/>
            </w:pPr>
            <w:r>
              <w:rPr/>
              <w:t>​</w:t>
            </w:r>
          </w:p>
        </w:tc>
      </w:tr>
      <w:tr>
        <w:trPr/>
        <w:tc>
          <w:tcPr>
            <w:tcW w:w="46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811"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1" w:after="0"/>
              <w:ind w:left="0" w:right="0" w:hanging="0"/>
              <w:jc w:val="center"/>
              <w:rPr/>
            </w:pPr>
            <w:r>
              <w:rPr/>
              <w:t>​</w:t>
            </w:r>
          </w:p>
        </w:tc>
        <w:tc>
          <w:tcPr>
            <w:tcW w:w="1005"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46" w:type="dxa"/>
            <w:tcBorders/>
            <w:vAlign w:val="center"/>
          </w:tcPr>
          <w:p>
            <w:pPr>
              <w:pStyle w:val="TableContents"/>
              <w:bidi w:val="0"/>
              <w:spacing w:before="1" w:after="0"/>
              <w:ind w:left="0" w:right="0" w:hanging="0"/>
              <w:jc w:val="center"/>
              <w:rPr/>
            </w:pPr>
            <w:r>
              <w:rPr/>
              <w:t>​</w:t>
            </w:r>
          </w:p>
        </w:tc>
        <w:tc>
          <w:tcPr>
            <w:tcW w:w="840"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1" w:after="0"/>
              <w:ind w:left="0" w:right="0" w:hanging="0"/>
              <w:jc w:val="left"/>
              <w:rPr/>
            </w:pPr>
            <w:r>
              <w:rPr/>
              <w:t>​</w:t>
            </w:r>
          </w:p>
        </w:tc>
        <w:tc>
          <w:tcPr>
            <w:tcW w:w="1156"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6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1" w:after="0"/>
              <w:ind w:left="0" w:right="0" w:hanging="0"/>
              <w:jc w:val="center"/>
              <w:rPr/>
            </w:pPr>
            <w:r>
              <w:rPr/>
              <w:t>  ​ ​ ​</w:t>
            </w:r>
          </w:p>
        </w:tc>
        <w:tc>
          <w:tcPr>
            <w:tcW w:w="1005"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Impairment </w:t>
            </w:r>
          </w:p>
        </w:tc>
        <w:tc>
          <w:tcPr>
            <w:tcW w:w="346" w:type="dxa"/>
            <w:tcBorders/>
            <w:vAlign w:val="center"/>
          </w:tcPr>
          <w:p>
            <w:pPr>
              <w:pStyle w:val="TableContents"/>
              <w:bidi w:val="0"/>
              <w:spacing w:before="1" w:after="0"/>
              <w:ind w:left="0" w:right="0" w:hanging="0"/>
              <w:jc w:val="center"/>
              <w:rPr/>
            </w:pPr>
            <w:r>
              <w:rPr/>
              <w:t>  ​ ​ ​</w:t>
            </w:r>
          </w:p>
        </w:tc>
        <w:tc>
          <w:tcPr>
            <w:tcW w:w="840"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Exit Costs</w:t>
            </w:r>
          </w:p>
        </w:tc>
        <w:tc>
          <w:tcPr>
            <w:tcW w:w="346" w:type="dxa"/>
            <w:tcBorders/>
            <w:vAlign w:val="center"/>
          </w:tcPr>
          <w:p>
            <w:pPr>
              <w:pStyle w:val="TableContents"/>
              <w:bidi w:val="0"/>
              <w:spacing w:before="1" w:after="0"/>
              <w:ind w:left="0" w:right="0" w:hanging="0"/>
              <w:jc w:val="center"/>
              <w:rPr/>
            </w:pPr>
            <w:r>
              <w:rPr/>
              <w:t>  ​ ​ ​</w:t>
            </w:r>
          </w:p>
        </w:tc>
        <w:tc>
          <w:tcPr>
            <w:tcW w:w="1156"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Restructuring</w:t>
            </w:r>
          </w:p>
        </w:tc>
      </w:tr>
      <w:tr>
        <w:trPr/>
        <w:tc>
          <w:tcPr>
            <w:tcW w:w="468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Balance at January 1, 2026</w:t>
            </w:r>
          </w:p>
        </w:tc>
        <w:tc>
          <w:tcPr>
            <w:tcW w:w="346" w:type="dxa"/>
            <w:tcBorders/>
            <w:shd w:fill="CCEEFF" w:val="clear"/>
            <w:vAlign w:val="center"/>
          </w:tcPr>
          <w:p>
            <w:pPr>
              <w:pStyle w:val="TableContents"/>
              <w:bidi w:val="0"/>
              <w:spacing w:before="1" w:after="0"/>
              <w:ind w:left="0" w:right="0" w:hanging="0"/>
              <w:jc w:val="left"/>
              <w:rPr/>
            </w:pPr>
            <w:r>
              <w:rPr/>
              <w:t>​</w:t>
            </w:r>
          </w:p>
        </w:tc>
        <w:tc>
          <w:tcPr>
            <w:tcW w:w="270"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1" w:after="0"/>
              <w:ind w:left="0" w:right="0" w:hanging="0"/>
              <w:jc w:val="right"/>
              <w:rPr/>
            </w:pPr>
            <w:r>
              <w:rPr/>
              <w:t>​</w:t>
            </w:r>
          </w:p>
        </w:tc>
        <w:tc>
          <w:tcPr>
            <w:tcW w:w="38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74"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1" w:after="0"/>
              <w:ind w:left="0" w:right="0" w:hanging="0"/>
              <w:jc w:val="left"/>
              <w:rPr/>
            </w:pPr>
            <w:r>
              <w:rPr/>
              <w:t>​</w:t>
            </w:r>
          </w:p>
        </w:tc>
        <w:tc>
          <w:tcPr>
            <w:tcW w:w="330"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68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46" w:type="dxa"/>
            <w:tcBorders/>
            <w:vAlign w:val="center"/>
          </w:tcPr>
          <w:p>
            <w:pPr>
              <w:pStyle w:val="TableContents"/>
              <w:bidi w:val="0"/>
              <w:spacing w:before="1" w:after="0"/>
              <w:ind w:left="0" w:right="0" w:hanging="0"/>
              <w:jc w:val="left"/>
              <w:rPr/>
            </w:pPr>
            <w:r>
              <w:rPr/>
              <w:t>​</w:t>
            </w:r>
          </w:p>
        </w:tc>
        <w:tc>
          <w:tcPr>
            <w:tcW w:w="270" w:type="dxa"/>
            <w:tcBorders/>
            <w:vAlign w:val="center"/>
          </w:tcPr>
          <w:p>
            <w:pPr>
              <w:pStyle w:val="TableContents"/>
              <w:bidi w:val="0"/>
              <w:spacing w:before="1" w:after="0"/>
              <w:ind w:left="0" w:right="0" w:hanging="0"/>
              <w:jc w:val="left"/>
              <w:rPr/>
            </w:pPr>
            <w:r>
              <w:rPr/>
              <w:t>​</w:t>
            </w:r>
          </w:p>
        </w:tc>
        <w:tc>
          <w:tcPr>
            <w:tcW w:w="54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1" w:after="0"/>
              <w:ind w:left="0" w:right="0" w:hanging="0"/>
              <w:jc w:val="right"/>
              <w:rPr/>
            </w:pPr>
            <w:r>
              <w:rPr/>
              <w:t>​</w:t>
            </w:r>
          </w:p>
        </w:tc>
        <w:tc>
          <w:tcPr>
            <w:tcW w:w="381" w:type="dxa"/>
            <w:tcBorders/>
            <w:vAlign w:val="center"/>
          </w:tcPr>
          <w:p>
            <w:pPr>
              <w:pStyle w:val="TableContents"/>
              <w:bidi w:val="0"/>
              <w:spacing w:before="1" w:after="0"/>
              <w:ind w:left="0" w:right="0" w:hanging="0"/>
              <w:jc w:val="left"/>
              <w:rPr/>
            </w:pPr>
            <w:r>
              <w:rPr/>
              <w:t>​</w:t>
            </w:r>
          </w:p>
        </w:tc>
        <w:tc>
          <w:tcPr>
            <w:tcW w:w="624"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1" w:after="0"/>
              <w:ind w:left="0" w:right="0" w:hanging="0"/>
              <w:jc w:val="right"/>
              <w:rPr/>
            </w:pPr>
            <w:r>
              <w:rPr/>
              <w:t>​</w:t>
            </w:r>
          </w:p>
        </w:tc>
        <w:tc>
          <w:tcPr>
            <w:tcW w:w="274" w:type="dxa"/>
            <w:tcBorders/>
            <w:vAlign w:val="center"/>
          </w:tcPr>
          <w:p>
            <w:pPr>
              <w:pStyle w:val="TableContents"/>
              <w:bidi w:val="0"/>
              <w:spacing w:before="1" w:after="0"/>
              <w:ind w:left="0" w:right="0" w:hanging="0"/>
              <w:jc w:val="left"/>
              <w:rPr/>
            </w:pPr>
            <w:r>
              <w:rPr/>
              <w:t>​</w:t>
            </w:r>
          </w:p>
        </w:tc>
        <w:tc>
          <w:tcPr>
            <w:tcW w:w="56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1" w:after="0"/>
              <w:ind w:left="0" w:right="0" w:hanging="0"/>
              <w:jc w:val="left"/>
              <w:rPr/>
            </w:pPr>
            <w:r>
              <w:rPr/>
              <w:t>​</w:t>
            </w:r>
          </w:p>
        </w:tc>
        <w:tc>
          <w:tcPr>
            <w:tcW w:w="330" w:type="dxa"/>
            <w:tcBorders/>
            <w:vAlign w:val="center"/>
          </w:tcPr>
          <w:p>
            <w:pPr>
              <w:pStyle w:val="TableContents"/>
              <w:bidi w:val="0"/>
              <w:spacing w:before="1" w:after="0"/>
              <w:ind w:left="0" w:right="0" w:hanging="0"/>
              <w:jc w:val="left"/>
              <w:rPr/>
            </w:pPr>
            <w:r>
              <w:rPr/>
              <w:t>​</w:t>
            </w:r>
          </w:p>
        </w:tc>
        <w:tc>
          <w:tcPr>
            <w:tcW w:w="82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68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Write-down of assets to net realizable value</w:t>
            </w:r>
          </w:p>
        </w:tc>
        <w:tc>
          <w:tcPr>
            <w:tcW w:w="346" w:type="dxa"/>
            <w:tcBorders/>
            <w:shd w:fill="CCEEFF" w:val="clear"/>
            <w:vAlign w:val="center"/>
          </w:tcPr>
          <w:p>
            <w:pPr>
              <w:pStyle w:val="TableContents"/>
              <w:bidi w:val="0"/>
              <w:spacing w:before="1" w:after="0"/>
              <w:ind w:left="0" w:right="0" w:hanging="0"/>
              <w:jc w:val="left"/>
              <w:rPr/>
            </w:pPr>
            <w:r>
              <w:rPr/>
              <w:t>​</w:t>
            </w:r>
          </w:p>
        </w:tc>
        <w:tc>
          <w:tcPr>
            <w:tcW w:w="270" w:type="dxa"/>
            <w:tcBorders/>
            <w:shd w:fill="CCEEFF" w:val="clear"/>
            <w:vAlign w:val="center"/>
          </w:tcPr>
          <w:p>
            <w:pPr>
              <w:pStyle w:val="TableContents"/>
              <w:bidi w:val="0"/>
              <w:spacing w:before="1" w:after="0"/>
              <w:ind w:left="0" w:right="0" w:hanging="0"/>
              <w:jc w:val="left"/>
              <w:rPr/>
            </w:pPr>
            <w:r>
              <w:rPr/>
              <w:t>​</w:t>
            </w:r>
          </w:p>
        </w:tc>
        <w:tc>
          <w:tcPr>
            <w:tcW w:w="54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81" w:type="dxa"/>
            <w:tcBorders/>
            <w:shd w:fill="CCEEFF" w:val="clear"/>
            <w:vAlign w:val="center"/>
          </w:tcPr>
          <w:p>
            <w:pPr>
              <w:pStyle w:val="TableContents"/>
              <w:bidi w:val="0"/>
              <w:spacing w:before="1" w:after="0"/>
              <w:ind w:left="0" w:right="0" w:hanging="0"/>
              <w:jc w:val="left"/>
              <w:rPr/>
            </w:pPr>
            <w:r>
              <w:rPr/>
              <w:t>​</w:t>
            </w:r>
          </w:p>
        </w:tc>
        <w:tc>
          <w:tcPr>
            <w:tcW w:w="624"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1" w:after="0"/>
              <w:ind w:left="0" w:right="0" w:hanging="0"/>
              <w:jc w:val="right"/>
              <w:rPr/>
            </w:pPr>
            <w:r>
              <w:rPr/>
              <w:t>​</w:t>
            </w:r>
          </w:p>
        </w:tc>
        <w:tc>
          <w:tcPr>
            <w:tcW w:w="274" w:type="dxa"/>
            <w:tcBorders/>
            <w:shd w:fill="CCEEFF" w:val="clear"/>
            <w:vAlign w:val="center"/>
          </w:tcPr>
          <w:p>
            <w:pPr>
              <w:pStyle w:val="TableContents"/>
              <w:bidi w:val="0"/>
              <w:spacing w:before="1" w:after="0"/>
              <w:ind w:left="0" w:right="0" w:hanging="0"/>
              <w:jc w:val="left"/>
              <w:rPr/>
            </w:pPr>
            <w:r>
              <w:rPr/>
              <w:t>​</w:t>
            </w:r>
          </w:p>
        </w:tc>
        <w:tc>
          <w:tcPr>
            <w:tcW w:w="566"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30" w:type="dxa"/>
            <w:tcBorders/>
            <w:shd w:fill="CCEEFF" w:val="clear"/>
            <w:vAlign w:val="center"/>
          </w:tcPr>
          <w:p>
            <w:pPr>
              <w:pStyle w:val="TableContents"/>
              <w:bidi w:val="0"/>
              <w:spacing w:before="1" w:after="0"/>
              <w:ind w:left="0" w:right="0" w:hanging="0"/>
              <w:jc w:val="left"/>
              <w:rPr/>
            </w:pPr>
            <w:r>
              <w:rPr/>
              <w:t>​</w:t>
            </w:r>
          </w:p>
        </w:tc>
        <w:tc>
          <w:tcPr>
            <w:tcW w:w="82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68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cash paid, principally severance and related benefits</w:t>
            </w:r>
          </w:p>
        </w:tc>
        <w:tc>
          <w:tcPr>
            <w:tcW w:w="346" w:type="dxa"/>
            <w:tcBorders/>
            <w:vAlign w:val="center"/>
          </w:tcPr>
          <w:p>
            <w:pPr>
              <w:pStyle w:val="TableContents"/>
              <w:bidi w:val="0"/>
              <w:spacing w:before="1" w:after="0"/>
              <w:ind w:left="0" w:right="0" w:hanging="0"/>
              <w:jc w:val="left"/>
              <w:rPr/>
            </w:pPr>
            <w:r>
              <w:rPr/>
              <w:t>​</w:t>
            </w:r>
          </w:p>
        </w:tc>
        <w:tc>
          <w:tcPr>
            <w:tcW w:w="270" w:type="dxa"/>
            <w:tcBorders/>
            <w:vAlign w:val="center"/>
          </w:tcPr>
          <w:p>
            <w:pPr>
              <w:pStyle w:val="TableContents"/>
              <w:bidi w:val="0"/>
              <w:spacing w:before="1" w:after="0"/>
              <w:ind w:left="0" w:right="0" w:hanging="0"/>
              <w:jc w:val="left"/>
              <w:rPr/>
            </w:pPr>
            <w:r>
              <w:rPr/>
              <w:t> </w:t>
            </w:r>
          </w:p>
        </w:tc>
        <w:tc>
          <w:tcPr>
            <w:tcW w:w="54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1" w:after="0"/>
              <w:ind w:left="0" w:right="0" w:hanging="0"/>
              <w:jc w:val="right"/>
              <w:rPr/>
            </w:pPr>
            <w:r>
              <w:rPr/>
              <w:t>​</w:t>
            </w:r>
          </w:p>
        </w:tc>
        <w:tc>
          <w:tcPr>
            <w:tcW w:w="381" w:type="dxa"/>
            <w:tcBorders/>
            <w:vAlign w:val="center"/>
          </w:tcPr>
          <w:p>
            <w:pPr>
              <w:pStyle w:val="TableContents"/>
              <w:bidi w:val="0"/>
              <w:spacing w:before="1" w:after="0"/>
              <w:ind w:left="0" w:right="0" w:hanging="0"/>
              <w:jc w:val="left"/>
              <w:rPr/>
            </w:pPr>
            <w:r>
              <w:rPr/>
              <w:t>​</w:t>
            </w:r>
          </w:p>
        </w:tc>
        <w:tc>
          <w:tcPr>
            <w:tcW w:w="624"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74" w:type="dxa"/>
            <w:tcBorders/>
            <w:vAlign w:val="center"/>
          </w:tcPr>
          <w:p>
            <w:pPr>
              <w:pStyle w:val="TableContents"/>
              <w:bidi w:val="0"/>
              <w:spacing w:before="1" w:after="0"/>
              <w:ind w:left="0" w:right="0" w:hanging="0"/>
              <w:jc w:val="left"/>
              <w:rPr/>
            </w:pPr>
            <w:r>
              <w:rPr/>
              <w:t>​</w:t>
            </w:r>
          </w:p>
        </w:tc>
        <w:tc>
          <w:tcPr>
            <w:tcW w:w="56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1" w:after="0"/>
              <w:ind w:left="0" w:right="0" w:hanging="0"/>
              <w:jc w:val="left"/>
              <w:rPr/>
            </w:pPr>
            <w:r>
              <w:rPr/>
              <w:t>​</w:t>
            </w:r>
          </w:p>
        </w:tc>
        <w:tc>
          <w:tcPr>
            <w:tcW w:w="330" w:type="dxa"/>
            <w:tcBorders/>
            <w:vAlign w:val="center"/>
          </w:tcPr>
          <w:p>
            <w:pPr>
              <w:pStyle w:val="TableContents"/>
              <w:bidi w:val="0"/>
              <w:spacing w:before="1" w:after="0"/>
              <w:ind w:left="0" w:right="0" w:hanging="0"/>
              <w:jc w:val="left"/>
              <w:rPr/>
            </w:pPr>
            <w:r>
              <w:rPr/>
              <w:t> </w:t>
            </w:r>
          </w:p>
        </w:tc>
        <w:tc>
          <w:tcPr>
            <w:tcW w:w="82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468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 including foreign exchange translation</w:t>
            </w:r>
          </w:p>
        </w:tc>
        <w:tc>
          <w:tcPr>
            <w:tcW w:w="346" w:type="dxa"/>
            <w:tcBorders/>
            <w:shd w:fill="CCEEFF" w:val="clear"/>
            <w:vAlign w:val="center"/>
          </w:tcPr>
          <w:p>
            <w:pPr>
              <w:pStyle w:val="TableContents"/>
              <w:bidi w:val="0"/>
              <w:spacing w:before="1"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1" w:after="0"/>
              <w:ind w:left="0" w:right="0" w:hanging="0"/>
              <w:jc w:val="righ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1"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68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before="1"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 xml:space="preserve">81 </w:t>
            </w:r>
          </w:p>
        </w:tc>
        <w:tc>
          <w:tcPr>
            <w:tcW w:w="346" w:type="dxa"/>
            <w:tcBorders/>
            <w:vAlign w:val="center"/>
          </w:tcPr>
          <w:p>
            <w:pPr>
              <w:pStyle w:val="TableContents"/>
              <w:bidi w:val="0"/>
              <w:spacing w:before="1" w:after="0"/>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bottom w:val="double" w:sz="6" w:space="0" w:color="000000"/>
            </w:tcBorders>
            <w:tcMar>
              <w:bottom w:w="28" w:type="dxa"/>
            </w:tcMar>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 xml:space="preserve">51 </w:t>
            </w:r>
          </w:p>
        </w:tc>
        <w:tc>
          <w:tcPr>
            <w:tcW w:w="346" w:type="dxa"/>
            <w:tcBorders/>
            <w:vAlign w:val="center"/>
          </w:tcPr>
          <w:p>
            <w:pPr>
              <w:pStyle w:val="TableContents"/>
              <w:bidi w:val="0"/>
              <w:spacing w:before="1" w:after="0"/>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1" w:after="0"/>
              <w:ind w:left="0" w:right="60" w:hanging="0"/>
              <w:jc w:val="right"/>
              <w:rPr>
                <w:rFonts w:ascii="Times New Roman;Times;serif" w:hAnsi="Times New Roman;Times;serif"/>
                <w:sz w:val="20"/>
              </w:rPr>
            </w:pPr>
            <w:r>
              <w:rPr>
                <w:rFonts w:ascii="Times New Roman;Times;serif" w:hAnsi="Times New Roman;Times;serif"/>
                <w:sz w:val="20"/>
              </w:rPr>
              <w:t xml:space="preserve">132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53"/>
        <w:gridCol w:w="346"/>
        <w:gridCol w:w="291"/>
        <w:gridCol w:w="520"/>
        <w:gridCol w:w="346"/>
        <w:gridCol w:w="295"/>
        <w:gridCol w:w="674"/>
        <w:gridCol w:w="346"/>
        <w:gridCol w:w="235"/>
        <w:gridCol w:w="369"/>
        <w:gridCol w:w="346"/>
        <w:gridCol w:w="355"/>
        <w:gridCol w:w="456"/>
        <w:gridCol w:w="346"/>
        <w:gridCol w:w="367"/>
        <w:gridCol w:w="602"/>
        <w:gridCol w:w="346"/>
        <w:gridCol w:w="235"/>
        <w:gridCol w:w="369"/>
        <w:gridCol w:w="346"/>
        <w:gridCol w:w="330"/>
        <w:gridCol w:w="832"/>
      </w:tblGrid>
      <w:tr>
        <w:trPr/>
        <w:tc>
          <w:tcPr>
            <w:tcW w:w="1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176655" cy="175895"/>
                      <wp:effectExtent l="0" t="0" r="0" b="0"/>
                      <wp:wrapNone/>
                      <wp:docPr id="338" name="Frame337"/>
                      <a:graphic xmlns:a="http://schemas.openxmlformats.org/drawingml/2006/main">
                        <a:graphicData uri="http://schemas.microsoft.com/office/word/2010/wordprocessingShape">
                          <wps:wsp>
                            <wps:cNvSpPr txBox="1"/>
                            <wps:spPr>
                              <a:xfrm>
                                <a:off x="0" y="0"/>
                                <a:ext cx="117665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895"/>
                      <wp:effectExtent l="0" t="0" r="0" b="0"/>
                      <wp:wrapNone/>
                      <wp:docPr id="339" name="Frame33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84785" cy="175895"/>
                      <wp:effectExtent l="0" t="0" r="0" b="0"/>
                      <wp:wrapNone/>
                      <wp:docPr id="340" name="Frame339"/>
                      <a:graphic xmlns:a="http://schemas.openxmlformats.org/drawingml/2006/main">
                        <a:graphicData uri="http://schemas.microsoft.com/office/word/2010/wordprocessingShape">
                          <wps:wsp>
                            <wps:cNvSpPr txBox="1"/>
                            <wps:spPr>
                              <a:xfrm>
                                <a:off x="0" y="0"/>
                                <a:ext cx="1847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30200" cy="175895"/>
                      <wp:effectExtent l="0" t="0" r="0" b="0"/>
                      <wp:wrapNone/>
                      <wp:docPr id="341" name="Frame340"/>
                      <a:graphic xmlns:a="http://schemas.openxmlformats.org/drawingml/2006/main">
                        <a:graphicData uri="http://schemas.microsoft.com/office/word/2010/wordprocessingShape">
                          <wps:wsp>
                            <wps:cNvSpPr txBox="1"/>
                            <wps:spPr>
                              <a:xfrm>
                                <a:off x="0" y="0"/>
                                <a:ext cx="33020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895"/>
                      <wp:effectExtent l="0" t="0" r="0" b="0"/>
                      <wp:wrapNone/>
                      <wp:docPr id="342" name="Frame34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87325" cy="175895"/>
                      <wp:effectExtent l="0" t="0" r="0" b="0"/>
                      <wp:wrapNone/>
                      <wp:docPr id="343" name="Frame342"/>
                      <a:graphic xmlns:a="http://schemas.openxmlformats.org/drawingml/2006/main">
                        <a:graphicData uri="http://schemas.microsoft.com/office/word/2010/wordprocessingShape">
                          <wps:wsp>
                            <wps:cNvSpPr txBox="1"/>
                            <wps:spPr>
                              <a:xfrm>
                                <a:off x="0" y="0"/>
                                <a:ext cx="18732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27990" cy="175895"/>
                      <wp:effectExtent l="0" t="0" r="0" b="0"/>
                      <wp:wrapNone/>
                      <wp:docPr id="344" name="Frame343"/>
                      <a:graphic xmlns:a="http://schemas.openxmlformats.org/drawingml/2006/main">
                        <a:graphicData uri="http://schemas.microsoft.com/office/word/2010/wordprocessingShape">
                          <wps:wsp>
                            <wps:cNvSpPr txBox="1"/>
                            <wps:spPr>
                              <a:xfrm>
                                <a:off x="0" y="0"/>
                                <a:ext cx="42799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895"/>
                      <wp:effectExtent l="0" t="0" r="0" b="0"/>
                      <wp:wrapNone/>
                      <wp:docPr id="345" name="Frame34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49225" cy="175895"/>
                      <wp:effectExtent l="0" t="0" r="0" b="0"/>
                      <wp:wrapNone/>
                      <wp:docPr id="346" name="Frame345"/>
                      <a:graphic xmlns:a="http://schemas.openxmlformats.org/drawingml/2006/main">
                        <a:graphicData uri="http://schemas.microsoft.com/office/word/2010/wordprocessingShape">
                          <wps:wsp>
                            <wps:cNvSpPr txBox="1"/>
                            <wps:spPr>
                              <a:xfrm>
                                <a:off x="0" y="0"/>
                                <a:ext cx="14922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34315" cy="175895"/>
                      <wp:effectExtent l="0" t="0" r="0" b="0"/>
                      <wp:wrapNone/>
                      <wp:docPr id="347" name="Frame346"/>
                      <a:graphic xmlns:a="http://schemas.openxmlformats.org/drawingml/2006/main">
                        <a:graphicData uri="http://schemas.microsoft.com/office/word/2010/wordprocessingShape">
                          <wps:wsp>
                            <wps:cNvSpPr txBox="1"/>
                            <wps:spPr>
                              <a:xfrm>
                                <a:off x="0" y="0"/>
                                <a:ext cx="23431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895"/>
                      <wp:effectExtent l="0" t="0" r="0" b="0"/>
                      <wp:wrapNone/>
                      <wp:docPr id="348" name="Frame34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25425" cy="175895"/>
                      <wp:effectExtent l="0" t="0" r="0" b="0"/>
                      <wp:wrapNone/>
                      <wp:docPr id="349" name="Frame348"/>
                      <a:graphic xmlns:a="http://schemas.openxmlformats.org/drawingml/2006/main">
                        <a:graphicData uri="http://schemas.microsoft.com/office/word/2010/wordprocessingShape">
                          <wps:wsp>
                            <wps:cNvSpPr txBox="1"/>
                            <wps:spPr>
                              <a:xfrm>
                                <a:off x="0" y="0"/>
                                <a:ext cx="22542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89560" cy="175895"/>
                      <wp:effectExtent l="0" t="0" r="0" b="0"/>
                      <wp:wrapNone/>
                      <wp:docPr id="350" name="Frame349"/>
                      <a:graphic xmlns:a="http://schemas.openxmlformats.org/drawingml/2006/main">
                        <a:graphicData uri="http://schemas.microsoft.com/office/word/2010/wordprocessingShape">
                          <wps:wsp>
                            <wps:cNvSpPr txBox="1"/>
                            <wps:spPr>
                              <a:xfrm>
                                <a:off x="0" y="0"/>
                                <a:ext cx="2895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895"/>
                      <wp:effectExtent l="0" t="0" r="0" b="0"/>
                      <wp:wrapNone/>
                      <wp:docPr id="351" name="Frame35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33045" cy="175895"/>
                      <wp:effectExtent l="0" t="0" r="0" b="0"/>
                      <wp:wrapNone/>
                      <wp:docPr id="352" name="Frame351"/>
                      <a:graphic xmlns:a="http://schemas.openxmlformats.org/drawingml/2006/main">
                        <a:graphicData uri="http://schemas.microsoft.com/office/word/2010/wordprocessingShape">
                          <wps:wsp>
                            <wps:cNvSpPr txBox="1"/>
                            <wps:spPr>
                              <a:xfrm>
                                <a:off x="0" y="0"/>
                                <a:ext cx="23304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82270" cy="175895"/>
                      <wp:effectExtent l="0" t="0" r="0" b="0"/>
                      <wp:wrapNone/>
                      <wp:docPr id="353" name="Frame352"/>
                      <a:graphic xmlns:a="http://schemas.openxmlformats.org/drawingml/2006/main">
                        <a:graphicData uri="http://schemas.microsoft.com/office/word/2010/wordprocessingShape">
                          <wps:wsp>
                            <wps:cNvSpPr txBox="1"/>
                            <wps:spPr>
                              <a:xfrm>
                                <a:off x="0" y="0"/>
                                <a:ext cx="38227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895"/>
                      <wp:effectExtent l="0" t="0" r="0" b="0"/>
                      <wp:wrapNone/>
                      <wp:docPr id="354" name="Frame35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49225" cy="175895"/>
                      <wp:effectExtent l="0" t="0" r="0" b="0"/>
                      <wp:wrapNone/>
                      <wp:docPr id="355" name="Frame354"/>
                      <a:graphic xmlns:a="http://schemas.openxmlformats.org/drawingml/2006/main">
                        <a:graphicData uri="http://schemas.microsoft.com/office/word/2010/wordprocessingShape">
                          <wps:wsp>
                            <wps:cNvSpPr txBox="1"/>
                            <wps:spPr>
                              <a:xfrm>
                                <a:off x="0" y="0"/>
                                <a:ext cx="14922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34315" cy="175895"/>
                      <wp:effectExtent l="0" t="0" r="0" b="0"/>
                      <wp:wrapNone/>
                      <wp:docPr id="356" name="Frame355"/>
                      <a:graphic xmlns:a="http://schemas.openxmlformats.org/drawingml/2006/main">
                        <a:graphicData uri="http://schemas.microsoft.com/office/word/2010/wordprocessingShape">
                          <wps:wsp>
                            <wps:cNvSpPr txBox="1"/>
                            <wps:spPr>
                              <a:xfrm>
                                <a:off x="0" y="0"/>
                                <a:ext cx="23431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895"/>
                      <wp:effectExtent l="0" t="0" r="0" b="0"/>
                      <wp:wrapNone/>
                      <wp:docPr id="357" name="Frame35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9550" cy="175895"/>
                      <wp:effectExtent l="0" t="0" r="0" b="0"/>
                      <wp:wrapNone/>
                      <wp:docPr id="358" name="Frame357"/>
                      <a:graphic xmlns:a="http://schemas.openxmlformats.org/drawingml/2006/main">
                        <a:graphicData uri="http://schemas.microsoft.com/office/word/2010/wordprocessingShape">
                          <wps:wsp>
                            <wps:cNvSpPr txBox="1"/>
                            <wps:spPr>
                              <a:xfrm>
                                <a:off x="0" y="0"/>
                                <a:ext cx="20955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28320" cy="175895"/>
                      <wp:effectExtent l="0" t="0" r="0" b="0"/>
                      <wp:wrapNone/>
                      <wp:docPr id="359" name="Frame358"/>
                      <a:graphic xmlns:a="http://schemas.openxmlformats.org/drawingml/2006/main">
                        <a:graphicData uri="http://schemas.microsoft.com/office/word/2010/wordprocessingShape">
                          <wps:wsp>
                            <wps:cNvSpPr txBox="1"/>
                            <wps:spPr>
                              <a:xfrm>
                                <a:off x="0" y="0"/>
                                <a:ext cx="52832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1853"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2785" w:type="dxa"/>
            <w:gridSpan w:val="7"/>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Fit to Win program</w:t>
            </w:r>
          </w:p>
        </w:tc>
        <w:tc>
          <w:tcPr>
            <w:tcW w:w="346" w:type="dxa"/>
            <w:tcBorders/>
            <w:vAlign w:val="center"/>
          </w:tcPr>
          <w:p>
            <w:pPr>
              <w:pStyle w:val="TableContents"/>
              <w:bidi w:val="0"/>
              <w:spacing w:before="1"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1" w:after="0"/>
              <w:ind w:left="0" w:right="0" w:hanging="0"/>
              <w:jc w:val="left"/>
              <w:rPr/>
            </w:pPr>
            <w:r>
              <w:rPr/>
              <w:t>​</w:t>
            </w:r>
          </w:p>
        </w:tc>
        <w:tc>
          <w:tcPr>
            <w:tcW w:w="2721" w:type="dxa"/>
            <w:gridSpan w:val="7"/>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Other Restructuring</w:t>
            </w:r>
          </w:p>
        </w:tc>
        <w:tc>
          <w:tcPr>
            <w:tcW w:w="346" w:type="dxa"/>
            <w:tcBorders/>
            <w:vAlign w:val="center"/>
          </w:tcPr>
          <w:p>
            <w:pPr>
              <w:pStyle w:val="TableContents"/>
              <w:bidi w:val="0"/>
              <w:spacing w:before="1" w:after="0"/>
              <w:ind w:left="0" w:right="0" w:hanging="0"/>
              <w:jc w:val="left"/>
              <w:rPr/>
            </w:pPr>
            <w:r>
              <w:rPr/>
              <w:t>​</w:t>
            </w:r>
          </w:p>
        </w:tc>
        <w:tc>
          <w:tcPr>
            <w:tcW w:w="330" w:type="dxa"/>
            <w:tcBorders/>
            <w:vAlign w:val="center"/>
          </w:tcPr>
          <w:p>
            <w:pPr>
              <w:pStyle w:val="TableContents"/>
              <w:bidi w:val="0"/>
              <w:spacing w:before="1" w:after="0"/>
              <w:ind w:left="0" w:right="0" w:hanging="0"/>
              <w:jc w:val="left"/>
              <w:rPr/>
            </w:pPr>
            <w:r>
              <w:rPr/>
              <w:t>​</w:t>
            </w:r>
          </w:p>
        </w:tc>
        <w:tc>
          <w:tcPr>
            <w:tcW w:w="832" w:type="dxa"/>
            <w:tcBorders/>
            <w:vAlign w:val="center"/>
          </w:tcPr>
          <w:p>
            <w:pPr>
              <w:pStyle w:val="TableContents"/>
              <w:bidi w:val="0"/>
              <w:spacing w:before="1" w:after="0"/>
              <w:ind w:left="0" w:right="0" w:hanging="0"/>
              <w:jc w:val="left"/>
              <w:rPr/>
            </w:pPr>
            <w:r>
              <w:rPr/>
              <w:t>​</w:t>
            </w:r>
          </w:p>
        </w:tc>
      </w:tr>
      <w:tr>
        <w:trPr/>
        <w:tc>
          <w:tcPr>
            <w:tcW w:w="1853"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811"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1" w:after="0"/>
              <w:ind w:left="0" w:right="0" w:hanging="0"/>
              <w:jc w:val="center"/>
              <w:rPr/>
            </w:pPr>
            <w:r>
              <w:rPr/>
              <w:t>​</w:t>
            </w:r>
          </w:p>
        </w:tc>
        <w:tc>
          <w:tcPr>
            <w:tcW w:w="969"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46" w:type="dxa"/>
            <w:tcBorders/>
            <w:vAlign w:val="center"/>
          </w:tcPr>
          <w:p>
            <w:pPr>
              <w:pStyle w:val="TableContents"/>
              <w:bidi w:val="0"/>
              <w:spacing w:before="1" w:after="0"/>
              <w:ind w:left="0" w:right="0" w:hanging="0"/>
              <w:jc w:val="center"/>
              <w:rPr/>
            </w:pPr>
            <w:r>
              <w:rPr/>
              <w:t>​</w:t>
            </w:r>
          </w:p>
        </w:tc>
        <w:tc>
          <w:tcPr>
            <w:tcW w:w="604"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1" w:after="0"/>
              <w:ind w:left="0" w:right="0" w:hanging="0"/>
              <w:jc w:val="left"/>
              <w:rPr/>
            </w:pPr>
            <w:r>
              <w:rPr/>
              <w:t>​</w:t>
            </w:r>
          </w:p>
        </w:tc>
        <w:tc>
          <w:tcPr>
            <w:tcW w:w="811"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46" w:type="dxa"/>
            <w:tcBorders/>
            <w:vAlign w:val="center"/>
          </w:tcPr>
          <w:p>
            <w:pPr>
              <w:pStyle w:val="TableContents"/>
              <w:bidi w:val="0"/>
              <w:spacing w:before="1" w:after="0"/>
              <w:ind w:left="0" w:right="0" w:hanging="0"/>
              <w:jc w:val="center"/>
              <w:rPr/>
            </w:pPr>
            <w:r>
              <w:rPr/>
              <w:t>​</w:t>
            </w:r>
          </w:p>
        </w:tc>
        <w:tc>
          <w:tcPr>
            <w:tcW w:w="969"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46" w:type="dxa"/>
            <w:tcBorders/>
            <w:vAlign w:val="center"/>
          </w:tcPr>
          <w:p>
            <w:pPr>
              <w:pStyle w:val="TableContents"/>
              <w:bidi w:val="0"/>
              <w:spacing w:before="1" w:after="0"/>
              <w:ind w:left="0" w:right="0" w:hanging="0"/>
              <w:jc w:val="center"/>
              <w:rPr/>
            </w:pPr>
            <w:r>
              <w:rPr/>
              <w:t>​</w:t>
            </w:r>
          </w:p>
        </w:tc>
        <w:tc>
          <w:tcPr>
            <w:tcW w:w="604"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1" w:after="0"/>
              <w:ind w:left="0" w:right="0" w:hanging="0"/>
              <w:jc w:val="center"/>
              <w:rPr/>
            </w:pPr>
            <w:r>
              <w:rPr/>
              <w:t>​</w:t>
            </w:r>
          </w:p>
        </w:tc>
        <w:tc>
          <w:tcPr>
            <w:tcW w:w="1162"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53"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1" w:after="0"/>
              <w:ind w:left="0" w:right="0" w:hanging="0"/>
              <w:jc w:val="center"/>
              <w:rPr/>
            </w:pPr>
            <w:r>
              <w:rPr/>
              <w:t>  ​ ​ ​</w:t>
            </w:r>
          </w:p>
        </w:tc>
        <w:tc>
          <w:tcPr>
            <w:tcW w:w="969"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Impairment </w:t>
            </w:r>
          </w:p>
        </w:tc>
        <w:tc>
          <w:tcPr>
            <w:tcW w:w="346" w:type="dxa"/>
            <w:tcBorders/>
            <w:vAlign w:val="center"/>
          </w:tcPr>
          <w:p>
            <w:pPr>
              <w:pStyle w:val="TableContents"/>
              <w:bidi w:val="0"/>
              <w:spacing w:before="1" w:after="0"/>
              <w:ind w:left="0" w:right="0" w:hanging="0"/>
              <w:jc w:val="center"/>
              <w:rPr/>
            </w:pPr>
            <w:r>
              <w:rPr/>
              <w:t>  ​ ​ ​</w:t>
            </w:r>
          </w:p>
        </w:tc>
        <w:tc>
          <w:tcPr>
            <w:tcW w:w="604"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Exit Costs</w:t>
            </w:r>
          </w:p>
        </w:tc>
        <w:tc>
          <w:tcPr>
            <w:tcW w:w="346" w:type="dxa"/>
            <w:tcBorders/>
            <w:vAlign w:val="center"/>
          </w:tcPr>
          <w:p>
            <w:pPr>
              <w:pStyle w:val="TableContents"/>
              <w:bidi w:val="0"/>
              <w:spacing w:before="1" w:after="0"/>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1" w:after="0"/>
              <w:ind w:left="0" w:right="0" w:hanging="0"/>
              <w:jc w:val="center"/>
              <w:rPr/>
            </w:pPr>
            <w:r>
              <w:rPr/>
              <w:t>  ​ ​ ​</w:t>
            </w:r>
          </w:p>
        </w:tc>
        <w:tc>
          <w:tcPr>
            <w:tcW w:w="969"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Impairment </w:t>
            </w:r>
          </w:p>
        </w:tc>
        <w:tc>
          <w:tcPr>
            <w:tcW w:w="346" w:type="dxa"/>
            <w:tcBorders/>
            <w:vAlign w:val="center"/>
          </w:tcPr>
          <w:p>
            <w:pPr>
              <w:pStyle w:val="TableContents"/>
              <w:bidi w:val="0"/>
              <w:spacing w:before="1" w:after="0"/>
              <w:ind w:left="0" w:right="0" w:hanging="0"/>
              <w:jc w:val="center"/>
              <w:rPr/>
            </w:pPr>
            <w:r>
              <w:rPr/>
              <w:t>  ​ ​ ​</w:t>
            </w:r>
          </w:p>
        </w:tc>
        <w:tc>
          <w:tcPr>
            <w:tcW w:w="604"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Exit Costs</w:t>
            </w:r>
          </w:p>
        </w:tc>
        <w:tc>
          <w:tcPr>
            <w:tcW w:w="346" w:type="dxa"/>
            <w:tcBorders/>
            <w:vAlign w:val="center"/>
          </w:tcPr>
          <w:p>
            <w:pPr>
              <w:pStyle w:val="TableContents"/>
              <w:bidi w:val="0"/>
              <w:spacing w:before="1" w:after="0"/>
              <w:ind w:left="0" w:right="0" w:hanging="0"/>
              <w:jc w:val="center"/>
              <w:rPr/>
            </w:pPr>
            <w:r>
              <w:rPr/>
              <w:t>  ​ ​ ​</w:t>
            </w:r>
          </w:p>
        </w:tc>
        <w:tc>
          <w:tcPr>
            <w:tcW w:w="116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Restructuring</w:t>
            </w:r>
          </w:p>
        </w:tc>
      </w:tr>
      <w:tr>
        <w:trPr/>
        <w:tc>
          <w:tcPr>
            <w:tcW w:w="1853"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Balance at January 1, 2025</w:t>
            </w:r>
          </w:p>
        </w:tc>
        <w:tc>
          <w:tcPr>
            <w:tcW w:w="346" w:type="dxa"/>
            <w:tcBorders/>
            <w:shd w:fill="CCEEFF" w:val="clear"/>
            <w:vAlign w:val="center"/>
          </w:tcPr>
          <w:p>
            <w:pPr>
              <w:pStyle w:val="TableContents"/>
              <w:bidi w:val="0"/>
              <w:spacing w:before="1" w:after="0"/>
              <w:ind w:left="0" w:right="0" w:hanging="0"/>
              <w:jc w:val="left"/>
              <w:rPr/>
            </w:pPr>
            <w:r>
              <w:rPr/>
              <w:t>​</w:t>
            </w:r>
          </w:p>
        </w:tc>
        <w:tc>
          <w:tcPr>
            <w:tcW w:w="29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1" w:after="0"/>
              <w:ind w:left="0" w:right="0" w:hanging="0"/>
              <w:jc w:val="right"/>
              <w:rPr/>
            </w:pPr>
            <w:r>
              <w:rPr/>
              <w:t>​</w:t>
            </w:r>
          </w:p>
        </w:tc>
        <w:tc>
          <w:tcPr>
            <w:tcW w:w="295"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1" w:after="0"/>
              <w:ind w:left="0" w:right="0" w:hanging="0"/>
              <w:jc w:val="left"/>
              <w:rPr/>
            </w:pPr>
            <w:r>
              <w:rPr/>
              <w:t>​</w:t>
            </w:r>
          </w:p>
        </w:tc>
        <w:tc>
          <w:tcPr>
            <w:tcW w:w="355"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1" w:after="0"/>
              <w:ind w:left="0" w:right="0" w:hanging="0"/>
              <w:jc w:val="right"/>
              <w:rPr/>
            </w:pPr>
            <w:r>
              <w:rPr/>
              <w:t>​</w:t>
            </w:r>
          </w:p>
        </w:tc>
        <w:tc>
          <w:tcPr>
            <w:tcW w:w="367"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9"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1" w:after="0"/>
              <w:ind w:left="0" w:right="0" w:hanging="0"/>
              <w:jc w:val="right"/>
              <w:rPr/>
            </w:pPr>
            <w:r>
              <w:rPr/>
              <w:t>​</w:t>
            </w:r>
          </w:p>
        </w:tc>
        <w:tc>
          <w:tcPr>
            <w:tcW w:w="330"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853"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46" w:type="dxa"/>
            <w:tcBorders/>
            <w:vAlign w:val="center"/>
          </w:tcPr>
          <w:p>
            <w:pPr>
              <w:pStyle w:val="TableContents"/>
              <w:bidi w:val="0"/>
              <w:spacing w:before="1" w:after="0"/>
              <w:ind w:left="0" w:right="0" w:hanging="0"/>
              <w:jc w:val="left"/>
              <w:rPr/>
            </w:pPr>
            <w:r>
              <w:rPr/>
              <w:t>​</w:t>
            </w:r>
          </w:p>
        </w:tc>
        <w:tc>
          <w:tcPr>
            <w:tcW w:w="291" w:type="dxa"/>
            <w:tcBorders/>
            <w:vAlign w:val="center"/>
          </w:tcPr>
          <w:p>
            <w:pPr>
              <w:pStyle w:val="TableContents"/>
              <w:bidi w:val="0"/>
              <w:spacing w:before="1" w:after="0"/>
              <w:ind w:left="0" w:right="0" w:hanging="0"/>
              <w:jc w:val="left"/>
              <w:rPr/>
            </w:pPr>
            <w:r>
              <w:rPr/>
              <w:t>​</w:t>
            </w:r>
          </w:p>
        </w:tc>
        <w:tc>
          <w:tcPr>
            <w:tcW w:w="520"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1" w:after="0"/>
              <w:ind w:left="0" w:right="0" w:hanging="0"/>
              <w:jc w:val="right"/>
              <w:rPr/>
            </w:pPr>
            <w:r>
              <w:rPr/>
              <w:t>​</w:t>
            </w:r>
          </w:p>
        </w:tc>
        <w:tc>
          <w:tcPr>
            <w:tcW w:w="295" w:type="dxa"/>
            <w:tcBorders/>
            <w:vAlign w:val="center"/>
          </w:tcPr>
          <w:p>
            <w:pPr>
              <w:pStyle w:val="TableContents"/>
              <w:bidi w:val="0"/>
              <w:spacing w:before="1" w:after="0"/>
              <w:ind w:left="0" w:right="0" w:hanging="0"/>
              <w:jc w:val="left"/>
              <w:rPr/>
            </w:pPr>
            <w:r>
              <w:rPr/>
              <w:t>​</w:t>
            </w:r>
          </w:p>
        </w:tc>
        <w:tc>
          <w:tcPr>
            <w:tcW w:w="674"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1" w:after="0"/>
              <w:ind w:left="0" w:right="0" w:hanging="0"/>
              <w:jc w:val="right"/>
              <w:rPr/>
            </w:pPr>
            <w:r>
              <w:rPr/>
              <w:t>​</w:t>
            </w:r>
          </w:p>
        </w:tc>
        <w:tc>
          <w:tcPr>
            <w:tcW w:w="235" w:type="dxa"/>
            <w:tcBorders/>
            <w:vAlign w:val="center"/>
          </w:tcPr>
          <w:p>
            <w:pPr>
              <w:pStyle w:val="TableContents"/>
              <w:bidi w:val="0"/>
              <w:spacing w:before="1" w:after="0"/>
              <w:ind w:left="0" w:right="0" w:hanging="0"/>
              <w:jc w:val="left"/>
              <w:rPr/>
            </w:pPr>
            <w:r>
              <w:rPr/>
              <w:t>​</w:t>
            </w:r>
          </w:p>
        </w:tc>
        <w:tc>
          <w:tcPr>
            <w:tcW w:w="3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1" w:after="0"/>
              <w:ind w:left="0" w:right="0" w:hanging="0"/>
              <w:jc w:val="left"/>
              <w:rPr/>
            </w:pPr>
            <w:r>
              <w:rPr/>
              <w:t>​</w:t>
            </w:r>
          </w:p>
        </w:tc>
        <w:tc>
          <w:tcPr>
            <w:tcW w:w="355" w:type="dxa"/>
            <w:tcBorders/>
            <w:vAlign w:val="center"/>
          </w:tcPr>
          <w:p>
            <w:pPr>
              <w:pStyle w:val="TableContents"/>
              <w:bidi w:val="0"/>
              <w:spacing w:before="1" w:after="0"/>
              <w:ind w:left="0" w:right="0" w:hanging="0"/>
              <w:jc w:val="left"/>
              <w:rPr/>
            </w:pPr>
            <w:r>
              <w:rPr/>
              <w:t>​</w:t>
            </w:r>
          </w:p>
        </w:tc>
        <w:tc>
          <w:tcPr>
            <w:tcW w:w="456"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367" w:type="dxa"/>
            <w:tcBorders/>
            <w:vAlign w:val="center"/>
          </w:tcPr>
          <w:p>
            <w:pPr>
              <w:pStyle w:val="TableContents"/>
              <w:bidi w:val="0"/>
              <w:spacing w:before="1" w:after="0"/>
              <w:ind w:left="0" w:right="0" w:hanging="0"/>
              <w:jc w:val="right"/>
              <w:rPr/>
            </w:pPr>
            <w:r>
              <w:rPr/>
              <w:t>​</w:t>
            </w:r>
          </w:p>
        </w:tc>
        <w:tc>
          <w:tcPr>
            <w:tcW w:w="602"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35" w:type="dxa"/>
            <w:tcBorders/>
            <w:vAlign w:val="center"/>
          </w:tcPr>
          <w:p>
            <w:pPr>
              <w:pStyle w:val="TableContents"/>
              <w:bidi w:val="0"/>
              <w:spacing w:before="1" w:after="0"/>
              <w:ind w:left="0" w:right="0" w:hanging="0"/>
              <w:jc w:val="right"/>
              <w:rPr/>
            </w:pPr>
            <w:r>
              <w:rPr/>
              <w:t>​</w:t>
            </w:r>
          </w:p>
        </w:tc>
        <w:tc>
          <w:tcPr>
            <w:tcW w:w="369"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330" w:type="dxa"/>
            <w:tcBorders/>
            <w:vAlign w:val="center"/>
          </w:tcPr>
          <w:p>
            <w:pPr>
              <w:pStyle w:val="TableContents"/>
              <w:bidi w:val="0"/>
              <w:spacing w:before="1" w:after="0"/>
              <w:ind w:left="0" w:right="0" w:hanging="0"/>
              <w:jc w:val="left"/>
              <w:rPr/>
            </w:pPr>
            <w:r>
              <w:rPr/>
              <w:t>​</w:t>
            </w:r>
          </w:p>
        </w:tc>
        <w:tc>
          <w:tcPr>
            <w:tcW w:w="832"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1853"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Write-down of assets to net realizable value</w:t>
            </w:r>
          </w:p>
        </w:tc>
        <w:tc>
          <w:tcPr>
            <w:tcW w:w="346" w:type="dxa"/>
            <w:tcBorders/>
            <w:shd w:fill="CCEEFF" w:val="clear"/>
            <w:vAlign w:val="center"/>
          </w:tcPr>
          <w:p>
            <w:pPr>
              <w:pStyle w:val="TableContents"/>
              <w:bidi w:val="0"/>
              <w:spacing w:before="1" w:after="0"/>
              <w:ind w:left="0" w:right="0" w:hanging="0"/>
              <w:jc w:val="left"/>
              <w:rPr/>
            </w:pPr>
            <w:r>
              <w:rPr/>
              <w:t>​</w:t>
            </w:r>
          </w:p>
        </w:tc>
        <w:tc>
          <w:tcPr>
            <w:tcW w:w="291" w:type="dxa"/>
            <w:tcBorders/>
            <w:shd w:fill="CCEEFF" w:val="clear"/>
            <w:vAlign w:val="center"/>
          </w:tcPr>
          <w:p>
            <w:pPr>
              <w:pStyle w:val="TableContents"/>
              <w:bidi w:val="0"/>
              <w:spacing w:before="1" w:after="0"/>
              <w:ind w:left="0" w:right="0" w:hanging="0"/>
              <w:jc w:val="left"/>
              <w:rPr/>
            </w:pPr>
            <w:r>
              <w:rPr/>
              <w:t>​</w:t>
            </w:r>
          </w:p>
        </w:tc>
        <w:tc>
          <w:tcPr>
            <w:tcW w:w="520"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95" w:type="dxa"/>
            <w:tcBorders/>
            <w:shd w:fill="CCEEFF" w:val="clear"/>
            <w:vAlign w:val="center"/>
          </w:tcPr>
          <w:p>
            <w:pPr>
              <w:pStyle w:val="TableContents"/>
              <w:bidi w:val="0"/>
              <w:spacing w:before="1" w:after="0"/>
              <w:ind w:left="0" w:right="0" w:hanging="0"/>
              <w:jc w:val="left"/>
              <w:rPr/>
            </w:pPr>
            <w:r>
              <w:rPr/>
              <w:t>​</w:t>
            </w:r>
          </w:p>
        </w:tc>
        <w:tc>
          <w:tcPr>
            <w:tcW w:w="674"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shd w:fill="CCEEFF" w:val="clear"/>
            <w:vAlign w:val="center"/>
          </w:tcPr>
          <w:p>
            <w:pPr>
              <w:pStyle w:val="TableContents"/>
              <w:bidi w:val="0"/>
              <w:spacing w:before="1" w:after="0"/>
              <w:ind w:left="0" w:right="0" w:hanging="0"/>
              <w:jc w:val="left"/>
              <w:rPr/>
            </w:pPr>
            <w:r>
              <w:rPr/>
              <w:t>​</w:t>
            </w:r>
          </w:p>
        </w:tc>
        <w:tc>
          <w:tcPr>
            <w:tcW w:w="369"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55" w:type="dxa"/>
            <w:tcBorders/>
            <w:shd w:fill="CCEEFF" w:val="clear"/>
            <w:vAlign w:val="center"/>
          </w:tcPr>
          <w:p>
            <w:pPr>
              <w:pStyle w:val="TableContents"/>
              <w:bidi w:val="0"/>
              <w:spacing w:before="1" w:after="0"/>
              <w:ind w:left="0" w:right="0" w:hanging="0"/>
              <w:jc w:val="left"/>
              <w:rPr/>
            </w:pPr>
            <w:r>
              <w:rPr/>
              <w:t>​</w:t>
            </w:r>
          </w:p>
        </w:tc>
        <w:tc>
          <w:tcPr>
            <w:tcW w:w="456"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67" w:type="dxa"/>
            <w:tcBorders/>
            <w:shd w:fill="CCEEFF" w:val="clear"/>
            <w:vAlign w:val="center"/>
          </w:tcPr>
          <w:p>
            <w:pPr>
              <w:pStyle w:val="TableContents"/>
              <w:bidi w:val="0"/>
              <w:spacing w:before="1" w:after="0"/>
              <w:ind w:left="0" w:right="0" w:hanging="0"/>
              <w:jc w:val="right"/>
              <w:rPr/>
            </w:pPr>
            <w:r>
              <w:rPr/>
              <w:t>​</w:t>
            </w:r>
          </w:p>
        </w:tc>
        <w:tc>
          <w:tcPr>
            <w:tcW w:w="602"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shd w:fill="CCEEFF" w:val="clear"/>
            <w:vAlign w:val="center"/>
          </w:tcPr>
          <w:p>
            <w:pPr>
              <w:pStyle w:val="TableContents"/>
              <w:bidi w:val="0"/>
              <w:spacing w:before="1" w:after="0"/>
              <w:ind w:left="0" w:right="0" w:hanging="0"/>
              <w:jc w:val="right"/>
              <w:rPr/>
            </w:pPr>
            <w:r>
              <w:rPr/>
              <w:t>​</w:t>
            </w:r>
          </w:p>
        </w:tc>
        <w:tc>
          <w:tcPr>
            <w:tcW w:w="369"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30" w:type="dxa"/>
            <w:tcBorders/>
            <w:shd w:fill="CCEEFF" w:val="clear"/>
            <w:vAlign w:val="center"/>
          </w:tcPr>
          <w:p>
            <w:pPr>
              <w:pStyle w:val="TableContents"/>
              <w:bidi w:val="0"/>
              <w:spacing w:before="1" w:after="0"/>
              <w:ind w:left="0" w:right="0" w:hanging="0"/>
              <w:jc w:val="left"/>
              <w:rPr/>
            </w:pPr>
            <w:r>
              <w:rPr/>
              <w:t>​</w:t>
            </w:r>
          </w:p>
        </w:tc>
        <w:tc>
          <w:tcPr>
            <w:tcW w:w="832"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1853"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cash paid, principally severance and related benefits</w:t>
            </w:r>
          </w:p>
        </w:tc>
        <w:tc>
          <w:tcPr>
            <w:tcW w:w="346" w:type="dxa"/>
            <w:tcBorders/>
            <w:vAlign w:val="center"/>
          </w:tcPr>
          <w:p>
            <w:pPr>
              <w:pStyle w:val="TableContents"/>
              <w:bidi w:val="0"/>
              <w:spacing w:before="1" w:after="0"/>
              <w:ind w:left="0" w:right="0" w:hanging="0"/>
              <w:jc w:val="left"/>
              <w:rPr/>
            </w:pPr>
            <w:r>
              <w:rPr/>
              <w:t>​</w:t>
            </w:r>
          </w:p>
        </w:tc>
        <w:tc>
          <w:tcPr>
            <w:tcW w:w="291" w:type="dxa"/>
            <w:tcBorders/>
            <w:vAlign w:val="center"/>
          </w:tcPr>
          <w:p>
            <w:pPr>
              <w:pStyle w:val="TableContents"/>
              <w:bidi w:val="0"/>
              <w:spacing w:before="1" w:after="0"/>
              <w:ind w:left="0" w:right="0" w:hanging="0"/>
              <w:jc w:val="left"/>
              <w:rPr/>
            </w:pPr>
            <w:r>
              <w:rPr/>
              <w:t> </w:t>
            </w:r>
          </w:p>
        </w:tc>
        <w:tc>
          <w:tcPr>
            <w:tcW w:w="520"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1" w:after="0"/>
              <w:ind w:left="0" w:right="0" w:hanging="0"/>
              <w:jc w:val="right"/>
              <w:rPr/>
            </w:pPr>
            <w:r>
              <w:rPr/>
              <w:t>​</w:t>
            </w:r>
          </w:p>
        </w:tc>
        <w:tc>
          <w:tcPr>
            <w:tcW w:w="295" w:type="dxa"/>
            <w:tcBorders/>
            <w:vAlign w:val="center"/>
          </w:tcPr>
          <w:p>
            <w:pPr>
              <w:pStyle w:val="TableContents"/>
              <w:bidi w:val="0"/>
              <w:spacing w:before="1" w:after="0"/>
              <w:ind w:left="0" w:right="0" w:hanging="0"/>
              <w:jc w:val="left"/>
              <w:rPr/>
            </w:pPr>
            <w:r>
              <w:rPr/>
              <w:t>​</w:t>
            </w:r>
          </w:p>
        </w:tc>
        <w:tc>
          <w:tcPr>
            <w:tcW w:w="674"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35" w:type="dxa"/>
            <w:tcBorders/>
            <w:vAlign w:val="center"/>
          </w:tcPr>
          <w:p>
            <w:pPr>
              <w:pStyle w:val="TableContents"/>
              <w:bidi w:val="0"/>
              <w:spacing w:before="1" w:after="0"/>
              <w:ind w:left="0" w:right="0" w:hanging="0"/>
              <w:jc w:val="left"/>
              <w:rPr/>
            </w:pPr>
            <w:r>
              <w:rPr/>
              <w:t>​</w:t>
            </w:r>
          </w:p>
        </w:tc>
        <w:tc>
          <w:tcPr>
            <w:tcW w:w="3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1" w:after="0"/>
              <w:ind w:left="0" w:right="0" w:hanging="0"/>
              <w:jc w:val="left"/>
              <w:rPr/>
            </w:pPr>
            <w:r>
              <w:rPr/>
              <w:t>​</w:t>
            </w:r>
          </w:p>
        </w:tc>
        <w:tc>
          <w:tcPr>
            <w:tcW w:w="355" w:type="dxa"/>
            <w:tcBorders/>
            <w:vAlign w:val="center"/>
          </w:tcPr>
          <w:p>
            <w:pPr>
              <w:pStyle w:val="TableContents"/>
              <w:bidi w:val="0"/>
              <w:spacing w:before="1" w:after="0"/>
              <w:ind w:left="0" w:right="0" w:hanging="0"/>
              <w:jc w:val="left"/>
              <w:rPr/>
            </w:pPr>
            <w:r>
              <w:rPr/>
              <w:t> </w:t>
            </w:r>
          </w:p>
        </w:tc>
        <w:tc>
          <w:tcPr>
            <w:tcW w:w="45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1" w:after="0"/>
              <w:ind w:left="0" w:right="0" w:hanging="0"/>
              <w:jc w:val="right"/>
              <w:rPr/>
            </w:pPr>
            <w:r>
              <w:rPr/>
              <w:t>​</w:t>
            </w:r>
          </w:p>
        </w:tc>
        <w:tc>
          <w:tcPr>
            <w:tcW w:w="367" w:type="dxa"/>
            <w:tcBorders/>
            <w:vAlign w:val="center"/>
          </w:tcPr>
          <w:p>
            <w:pPr>
              <w:pStyle w:val="TableContents"/>
              <w:bidi w:val="0"/>
              <w:spacing w:before="1" w:after="0"/>
              <w:ind w:left="0" w:right="0" w:hanging="0"/>
              <w:jc w:val="right"/>
              <w:rPr/>
            </w:pPr>
            <w:r>
              <w:rPr/>
              <w:t>​</w:t>
            </w:r>
          </w:p>
        </w:tc>
        <w:tc>
          <w:tcPr>
            <w:tcW w:w="602"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35" w:type="dxa"/>
            <w:tcBorders/>
            <w:vAlign w:val="center"/>
          </w:tcPr>
          <w:p>
            <w:pPr>
              <w:pStyle w:val="TableContents"/>
              <w:bidi w:val="0"/>
              <w:spacing w:before="1" w:after="0"/>
              <w:ind w:left="0" w:right="0" w:hanging="0"/>
              <w:jc w:val="right"/>
              <w:rPr/>
            </w:pPr>
            <w:r>
              <w:rPr/>
              <w:t>​</w:t>
            </w:r>
          </w:p>
        </w:tc>
        <w:tc>
          <w:tcPr>
            <w:tcW w:w="369"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1" w:after="0"/>
              <w:ind w:left="0" w:right="0" w:hanging="0"/>
              <w:jc w:val="right"/>
              <w:rPr/>
            </w:pPr>
            <w:r>
              <w:rPr/>
              <w:t>​</w:t>
            </w:r>
          </w:p>
        </w:tc>
        <w:tc>
          <w:tcPr>
            <w:tcW w:w="330" w:type="dxa"/>
            <w:tcBorders/>
            <w:vAlign w:val="center"/>
          </w:tcPr>
          <w:p>
            <w:pPr>
              <w:pStyle w:val="TableContents"/>
              <w:bidi w:val="0"/>
              <w:spacing w:before="1" w:after="0"/>
              <w:ind w:left="0" w:right="0" w:hanging="0"/>
              <w:jc w:val="right"/>
              <w:rPr/>
            </w:pPr>
            <w:r>
              <w:rPr/>
              <w:t>​</w:t>
            </w:r>
          </w:p>
        </w:tc>
        <w:tc>
          <w:tcPr>
            <w:tcW w:w="832"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853"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 including foreign exchange translation</w:t>
            </w:r>
          </w:p>
        </w:tc>
        <w:tc>
          <w:tcPr>
            <w:tcW w:w="346" w:type="dxa"/>
            <w:tcBorders/>
            <w:shd w:fill="CCEEFF" w:val="clear"/>
            <w:vAlign w:val="center"/>
          </w:tcPr>
          <w:p>
            <w:pPr>
              <w:pStyle w:val="TableContents"/>
              <w:bidi w:val="0"/>
              <w:spacing w:before="1"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1"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 </w:t>
            </w:r>
          </w:p>
        </w:tc>
        <w:tc>
          <w:tcPr>
            <w:tcW w:w="456"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602"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righ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853"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vAlign w:val="center"/>
          </w:tcPr>
          <w:p>
            <w:pPr>
              <w:pStyle w:val="TableContents"/>
              <w:bidi w:val="0"/>
              <w:spacing w:before="1"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1" w:after="0"/>
              <w:ind w:left="0" w:right="0" w:hanging="0"/>
              <w:jc w:val="right"/>
              <w:rPr/>
            </w:pPr>
            <w:r>
              <w:rPr/>
              <w:t>​</w:t>
            </w:r>
          </w:p>
        </w:tc>
        <w:tc>
          <w:tcPr>
            <w:tcW w:w="295"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tcMar>
              <w:bottom w:w="28" w:type="dxa"/>
            </w:tcMar>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35"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9"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1"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6"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1" w:after="0"/>
              <w:ind w:left="0" w:right="0" w:hanging="0"/>
              <w:jc w:val="right"/>
              <w:rPr/>
            </w:pPr>
            <w:r>
              <w:rPr/>
              <w:t>​</w:t>
            </w:r>
          </w:p>
        </w:tc>
        <w:tc>
          <w:tcPr>
            <w:tcW w:w="367"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tcMar>
              <w:bottom w:w="28" w:type="dxa"/>
            </w:tcMar>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right"/>
              <w:rPr/>
            </w:pPr>
            <w:r>
              <w:rPr/>
              <w:t>​</w:t>
            </w:r>
          </w:p>
        </w:tc>
        <w:tc>
          <w:tcPr>
            <w:tcW w:w="235"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9"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1" w:after="0"/>
              <w:ind w:left="0" w:right="0" w:hanging="0"/>
              <w:jc w:val="right"/>
              <w:rPr/>
            </w:pPr>
            <w:r>
              <w:rPr/>
              <w:t>​</w:t>
            </w:r>
          </w:p>
        </w:tc>
        <w:tc>
          <w:tcPr>
            <w:tcW w:w="330"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1" w:after="0"/>
              <w:ind w:left="0" w:right="60" w:hanging="0"/>
              <w:jc w:val="right"/>
              <w:rPr>
                <w:rFonts w:ascii="Times New Roman;Times;serif" w:hAnsi="Times New Roman;Times;serif"/>
                <w:sz w:val="20"/>
              </w:rPr>
            </w:pPr>
            <w:r>
              <w:rPr>
                <w:rFonts w:ascii="Times New Roman;Times;serif" w:hAnsi="Times New Roman;Times;serif"/>
                <w:sz w:val="20"/>
              </w:rPr>
              <w:t>86</w:t>
            </w:r>
          </w:p>
        </w:tc>
      </w:tr>
    </w:tbl>
    <w:p>
      <w:pPr>
        <w:pStyle w:val="TextBody"/>
        <w:bidi w:val="0"/>
        <w:spacing w:before="120" w:after="283"/>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When a decision is made to take restructuring actions, the Company manages and accounts for them programmatically apart from the ongoing operations of the business. Information related to major programs is presented separately, while minor initiatives are presented on a combined basis.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the Company’s only major restructuring program was the Fit to Win initiative, which is expected to reduce redundant production capacity and begin to optimize the network, as well as streamline other cost areas, such as selling, general and administrative expenses.  Details regarding charges, payments and other changes to the Fit to Win restructuring accruals are presented in the tables above. </w:t>
      </w:r>
      <w:r>
        <w:rPr>
          <w:rFonts w:ascii="Times New Roman;Times;serif" w:hAnsi="Times New Roman;Times;serif"/>
          <w:color w:val="212529"/>
          <w:sz w:val="20"/>
        </w:rPr>
        <w:t>The Fit to Win initiative is expected to last at least through 2026, but management does not yet have an estimate for the total restructuring charges to be incurred with this program.</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three and six months ended June 30, 2026, the Company recorded restructuring, asset impairment and other charges of approximately $17 million and $55 million, respectively, to Other expense, net in the Condensed Consolidated Results of Operations, all of which related to the Fit to Win program. For the three months ended June 30, 2026, these charges consisted of employee costs, such as severance and benefit-related costs, write-down of assets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exit costs in the Americas segment ($4 million), and in the Europe segment ($13 million). For the six months ended June 30, 2026, these charges consisted of employee costs, such as severance and benefit-related costs, write-down of assets and other exit costs in the Americas segment ($7 million), Europe segment ($44 million) and Retained corporate costs and other ($4 million). As of June 30, 2026, the Company has incurred cumulative charges of approximately $700 million related to the Fit to Win program. Additional restructuring charges are expected in future quarters when management completes its assessment to reduce redundant production capacity and streamline costs. The Company expects that the majority of the remaining cash expenditures related to the accrued employee and other exit costs will be paid out over the next several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and six months ended June 30, 2025, the Company recorded restructuring, asset impairment and other charges of approximately $113 million (which included $104 million related to its decision to halt the MAGMA program) and $195 million, respectively, to Other expense, net in the Condensed Consolidated Results of Operations, of which all related to the Fit to Win program. For the three months ended June 30, 2025, these charges consisted of employee costs, such as severance and benefit-related costs, write-down of assets and other exit costs in the Americas segment ($50 million), Europe segment ($3 million) and Retained corporate costs and other ($60 million). For the six months ended June 30, 2025, these charges consisted of employee costs, such as severance and benefit-related costs, write-down of assets and other exit costs in the Americas segment ($56 million), Europe segment ($55 million) and Retained corporate costs and other ($84 million). As of June 30, 2025, the Company had incurred cumulative charges of approximately $396 million related to the Fit to Win program.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decisions to curtail selected production capacity have resulted in write-downs of certain long-lived assets to the extent their carrying value exceeded fair value or fair value less cost to sell. The Company classified the significant assumptions used to determine the fair value of the impaired assets in the period that the measurement was taken as Level 3 (third-party appraisals, where applicable) in the fair value hierarchy as set forth in the general accounting principles for fair value measurements. For the asset impairments recorded during the three and six months ended June 30, 2026, the remaining carrying value of the impaired assets was approximately $0.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rFonts w:ascii="Times New Roman;Times;serif" w:hAnsi="Times New Roman;Times;serif"/>
          <w:b/>
          <w:sz w:val="20"/>
        </w:rPr>
      </w:pPr>
      <w:bookmarkStart w:id="1206" w:name="Tc_jBYdYbyBSkeA7NNfUQT_cQ_8_11"/>
      <w:bookmarkStart w:id="1207" w:name="Tc_IQo06iyFGUi3ccXsFAsNlg_8_8"/>
      <w:bookmarkStart w:id="1208" w:name="Tc_5REVBhJTTE6ZFRJT0h_4kw_8_5"/>
      <w:bookmarkStart w:id="1209" w:name="Tc_HPNnSZJAvkGQf-FChLI5sg_8_2"/>
      <w:bookmarkStart w:id="1210" w:name="Tc_BWKJL67TUEKuOq3xjSnB9Q_8_0"/>
      <w:bookmarkStart w:id="1211" w:name="Tc_Vp15srOsbk2BER7H8_ObRQ_4_11"/>
      <w:bookmarkStart w:id="1212" w:name="Tc_a50Sdtj1g0iKb5wTO-8Zag_4_8"/>
      <w:bookmarkStart w:id="1213" w:name="Tc_UY4edx_NKke3Wwp-Zb58ag_4_5"/>
      <w:bookmarkStart w:id="1214" w:name="Tc_c-iaiaS47E21Oxvftt4KZg_4_2"/>
      <w:bookmarkStart w:id="1215" w:name="Tc_Z4myexEhd0-nPQ1UCY5vVA_4_0"/>
      <w:bookmarkStart w:id="1216" w:name="Tc_y6A0YaCeBk6gschBzRucyA_3_11"/>
      <w:bookmarkStart w:id="1217" w:name="Tc_bFhUU3MYcEOsJIesZ6_HJw_3_8"/>
      <w:bookmarkStart w:id="1218" w:name="Tc_E0Ii3enFHk663_6JjJlhMA_3_5"/>
      <w:bookmarkStart w:id="1219" w:name="Tc_kKaCbbRk0Eu_xU-2YFPvPQ_3_2"/>
      <w:bookmarkStart w:id="1220" w:name="Tc_Di1OT3wYoE67-bfqcabFrw_2_8"/>
      <w:bookmarkStart w:id="1221" w:name="Tc_BQ92er89Xk6G0ATdhafSLg_2_2"/>
      <w:bookmarkStart w:id="1222" w:name="Tc_4y_1kOMYwEukZ-mzYdGcMQ_1_8"/>
      <w:bookmarkStart w:id="1223" w:name="Tc_MfSaSv5ctU-T_HSUH1YKJw_1_2"/>
      <w:bookmarkStart w:id="1224" w:name="_94e4a603_7861_453e_b1bf_e951a6f7e3f8"/>
      <w:bookmarkStart w:id="1225" w:name="Tc_0qDq_Zzo4UCTmMe1IfZj3Q_8_11"/>
      <w:bookmarkStart w:id="1226" w:name="Tc_LbeH53NF3kCb5cXrZ-FYVg_8_8"/>
      <w:bookmarkStart w:id="1227" w:name="Tc_IYIBAooYo0KjgmoKzA9E1g_8_5"/>
      <w:bookmarkStart w:id="1228" w:name="Tc_9gGKwrcmZEmeDCqav0r1bw_8_2"/>
      <w:bookmarkStart w:id="1229" w:name="Tc_1o_Lv8Ez3kGwLtDs1bC8jw_8_0"/>
      <w:bookmarkStart w:id="1230" w:name="Tc_kO-KxqnBEUmgHV06wRWiXQ_4_11"/>
      <w:bookmarkStart w:id="1231" w:name="Tc_ZI7RxZZR4UO-OhNh2IK3GA_4_8"/>
      <w:bookmarkStart w:id="1232" w:name="Tc_p0nR8VTBoUWlxrgGObq_TQ_4_5"/>
      <w:bookmarkStart w:id="1233" w:name="Tc_mTQMksk4oUeT_cuTA4M6CQ_4_2"/>
      <w:bookmarkStart w:id="1234" w:name="Tc_IT95hvPZzkOXpRuex5AB4w_4_0"/>
      <w:bookmarkStart w:id="1235" w:name="Tc_l88DK3ne_UiUflK-RyQ3nA_3_11"/>
      <w:bookmarkStart w:id="1236" w:name="Tc_oaEUVmjMgkWbn5gEJhLDyQ_3_8"/>
      <w:bookmarkStart w:id="1237" w:name="Tc__XWesd0FokOz5FTasFbYuQ_3_5"/>
      <w:bookmarkStart w:id="1238" w:name="Tc_TANflwDsHE6j9xSJ6bc-Jw_3_2"/>
      <w:bookmarkStart w:id="1239" w:name="Tc_3JgBC8YRREuHm3VCclEFrA_2_8"/>
      <w:bookmarkStart w:id="1240" w:name="Tc_SB-O4lfxZ0qHXeo721dRiQ_2_2"/>
      <w:bookmarkStart w:id="1241" w:name="Tc_fEkaYZDz8E-T6mlOlBWI2A_1_8"/>
      <w:bookmarkStart w:id="1242" w:name="Tc_zPfrN6y0XUaP6ppWYk1RBA_1_2"/>
      <w:bookmarkStart w:id="1243" w:name="_457dcf46_1e92_4145_bb1a_b72b285f00af"/>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r>
        <w:rPr>
          <w:rFonts w:ascii="Times New Roman;Times;serif" w:hAnsi="Times New Roman;Times;serif"/>
          <w:b/>
          <w:sz w:val="20"/>
        </w:rPr>
        <w:t>8. Pension Benefit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the net periodic pension cost for the three months ended June 30, 2026 and 2025 are as follows:</w:t>
      </w:r>
    </w:p>
    <w:p>
      <w:pPr>
        <w:pStyle w:val="TextBody"/>
        <w:bidi w:val="0"/>
        <w:spacing w:before="0" w:after="0"/>
        <w:ind w:left="0" w:right="0" w:hanging="0"/>
        <w:jc w:val="left"/>
        <w:rPr/>
      </w:pPr>
      <w:r>
        <w:rPr/>
        <w:t>​</w:t>
      </w:r>
    </w:p>
    <w:tbl>
      <w:tblPr>
        <w:tblW w:w="7841" w:type="dxa"/>
        <w:jc w:val="left"/>
        <w:tblInd w:w="0" w:type="dxa"/>
        <w:tblLayout w:type="fixed"/>
        <w:tblCellMar>
          <w:top w:w="0" w:type="dxa"/>
          <w:left w:w="0" w:type="dxa"/>
          <w:bottom w:w="0" w:type="dxa"/>
          <w:right w:w="0" w:type="dxa"/>
        </w:tblCellMar>
      </w:tblPr>
      <w:tblGrid>
        <w:gridCol w:w="2521"/>
        <w:gridCol w:w="346"/>
        <w:gridCol w:w="285"/>
        <w:gridCol w:w="590"/>
        <w:gridCol w:w="468"/>
        <w:gridCol w:w="285"/>
        <w:gridCol w:w="590"/>
        <w:gridCol w:w="346"/>
        <w:gridCol w:w="327"/>
        <w:gridCol w:w="514"/>
        <w:gridCol w:w="537"/>
        <w:gridCol w:w="327"/>
        <w:gridCol w:w="514"/>
        <w:gridCol w:w="19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600835" cy="175260"/>
                      <wp:effectExtent l="0" t="0" r="0" b="0"/>
                      <wp:wrapNone/>
                      <wp:docPr id="360" name="Frame359"/>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80975" cy="175260"/>
                      <wp:effectExtent l="0" t="0" r="0" b="0"/>
                      <wp:wrapNone/>
                      <wp:docPr id="362" name="Frame361"/>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74650" cy="175260"/>
                      <wp:effectExtent l="0" t="0" r="0" b="0"/>
                      <wp:wrapNone/>
                      <wp:docPr id="363" name="Frame362"/>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97180" cy="175260"/>
                      <wp:effectExtent l="0" t="0" r="0" b="0"/>
                      <wp:wrapNone/>
                      <wp:docPr id="364" name="Frame363"/>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80975" cy="175260"/>
                      <wp:effectExtent l="0" t="0" r="0" b="0"/>
                      <wp:wrapNone/>
                      <wp:docPr id="365" name="Frame364"/>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74650" cy="175260"/>
                      <wp:effectExtent l="0" t="0" r="0" b="0"/>
                      <wp:wrapNone/>
                      <wp:docPr id="366" name="Frame365"/>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645" cy="175260"/>
                      <wp:effectExtent l="0" t="0" r="0" b="0"/>
                      <wp:wrapNone/>
                      <wp:docPr id="368" name="Frame367"/>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26390" cy="175260"/>
                      <wp:effectExtent l="0" t="0" r="0" b="0"/>
                      <wp:wrapNone/>
                      <wp:docPr id="369" name="Frame368"/>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40995" cy="175260"/>
                      <wp:effectExtent l="0" t="0" r="0" b="0"/>
                      <wp:wrapNone/>
                      <wp:docPr id="370" name="Frame369"/>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645" cy="175260"/>
                      <wp:effectExtent l="0" t="0" r="0" b="0"/>
                      <wp:wrapNone/>
                      <wp:docPr id="371" name="Frame370"/>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26390" cy="175260"/>
                      <wp:effectExtent l="0" t="0" r="0" b="0"/>
                      <wp:wrapNone/>
                      <wp:docPr id="372" name="Frame371"/>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21285" cy="175260"/>
                      <wp:effectExtent l="0" t="0" r="0" b="0"/>
                      <wp:wrapNone/>
                      <wp:docPr id="373" name="Frame37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22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Non-U.S.</w:t>
            </w:r>
          </w:p>
        </w:tc>
        <w:tc>
          <w:tcPr>
            <w:tcW w:w="19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center"/>
              <w:rPr/>
            </w:pPr>
            <w:r>
              <w:rPr/>
              <w:t>​</w:t>
            </w:r>
          </w:p>
        </w:tc>
        <w:tc>
          <w:tcPr>
            <w:tcW w:w="22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91" w:type="dxa"/>
            <w:tcBorders/>
            <w:vAlign w:val="center"/>
          </w:tcPr>
          <w:p>
            <w:pPr>
              <w:pStyle w:val="TableContents"/>
              <w:bidi w:val="0"/>
              <w:spacing w:before="0" w:after="0"/>
              <w:ind w:left="0" w:right="0" w:hanging="0"/>
              <w:jc w:val="center"/>
              <w:rPr/>
            </w:pPr>
            <w:r>
              <w:rPr/>
              <w:t>​</w:t>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8" w:type="dxa"/>
            <w:tcBorders/>
            <w:vAlign w:val="center"/>
          </w:tcPr>
          <w:p>
            <w:pPr>
              <w:pStyle w:val="TableContents"/>
              <w:bidi w:val="0"/>
              <w:spacing w:before="0" w:after="0"/>
              <w:ind w:left="0" w:right="0" w:hanging="0"/>
              <w:jc w:val="center"/>
              <w:rPr/>
            </w:pPr>
            <w:r>
              <w:rPr/>
              <w:t>  ​ ​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37" w:type="dxa"/>
            <w:tcBorders/>
            <w:vAlign w:val="center"/>
          </w:tcPr>
          <w:p>
            <w:pPr>
              <w:pStyle w:val="TableContents"/>
              <w:bidi w:val="0"/>
              <w:spacing w:before="0" w:after="0"/>
              <w:ind w:left="0" w:right="0" w:hanging="0"/>
              <w:jc w:val="center"/>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68"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37"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right"/>
              <w:rPr/>
            </w:pPr>
            <w:r>
              <w:rPr/>
              <w:t> </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68"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right"/>
              <w:rPr/>
            </w:pPr>
            <w:r>
              <w:rPr/>
              <w:t> </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right"/>
              <w:rPr/>
            </w:pPr>
            <w:r>
              <w:rPr/>
              <w:t> </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537"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right"/>
              <w:rPr/>
            </w:pPr>
            <w:r>
              <w:rPr/>
              <w:t> </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asset return</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68"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537"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actuarial loss</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68"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37"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pension cost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68"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537"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components of the net periodic pension cost for the six months ended June 30, 2026 and 2025 are as follows:</w:t>
      </w:r>
    </w:p>
    <w:p>
      <w:pPr>
        <w:pStyle w:val="TextBody"/>
        <w:bidi w:val="0"/>
        <w:spacing w:before="0" w:after="0"/>
        <w:ind w:left="0" w:right="0" w:hanging="0"/>
        <w:jc w:val="left"/>
        <w:rPr/>
      </w:pPr>
      <w:r>
        <w:rPr/>
        <w:t>​</w:t>
      </w:r>
    </w:p>
    <w:tbl>
      <w:tblPr>
        <w:tblW w:w="7450" w:type="dxa"/>
        <w:jc w:val="left"/>
        <w:tblInd w:w="0" w:type="dxa"/>
        <w:tblLayout w:type="fixed"/>
        <w:tblCellMar>
          <w:top w:w="0" w:type="dxa"/>
          <w:left w:w="0" w:type="dxa"/>
          <w:bottom w:w="0" w:type="dxa"/>
          <w:right w:w="0" w:type="dxa"/>
        </w:tblCellMar>
      </w:tblPr>
      <w:tblGrid>
        <w:gridCol w:w="2521"/>
        <w:gridCol w:w="346"/>
        <w:gridCol w:w="260"/>
        <w:gridCol w:w="538"/>
        <w:gridCol w:w="427"/>
        <w:gridCol w:w="260"/>
        <w:gridCol w:w="538"/>
        <w:gridCol w:w="346"/>
        <w:gridCol w:w="260"/>
        <w:gridCol w:w="538"/>
        <w:gridCol w:w="427"/>
        <w:gridCol w:w="260"/>
        <w:gridCol w:w="538"/>
        <w:gridCol w:w="19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600835" cy="175260"/>
                      <wp:effectExtent l="0" t="0" r="0" b="0"/>
                      <wp:wrapNone/>
                      <wp:docPr id="374" name="Frame373"/>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65100" cy="175260"/>
                      <wp:effectExtent l="0" t="0" r="0" b="0"/>
                      <wp:wrapNone/>
                      <wp:docPr id="376" name="Frame37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41630" cy="175260"/>
                      <wp:effectExtent l="0" t="0" r="0" b="0"/>
                      <wp:wrapNone/>
                      <wp:docPr id="377" name="Frame376"/>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71145" cy="175260"/>
                      <wp:effectExtent l="0" t="0" r="0" b="0"/>
                      <wp:wrapNone/>
                      <wp:docPr id="378" name="Frame377"/>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65100" cy="175260"/>
                      <wp:effectExtent l="0" t="0" r="0" b="0"/>
                      <wp:wrapNone/>
                      <wp:docPr id="379" name="Frame37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341630" cy="175260"/>
                      <wp:effectExtent l="0" t="0" r="0" b="0"/>
                      <wp:wrapNone/>
                      <wp:docPr id="380" name="Frame379"/>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65100" cy="175260"/>
                      <wp:effectExtent l="0" t="0" r="0" b="0"/>
                      <wp:wrapNone/>
                      <wp:docPr id="382" name="Frame38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41630" cy="175260"/>
                      <wp:effectExtent l="0" t="0" r="0" b="0"/>
                      <wp:wrapNone/>
                      <wp:docPr id="383" name="Frame382"/>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71145" cy="175260"/>
                      <wp:effectExtent l="0" t="0" r="0" b="0"/>
                      <wp:wrapNone/>
                      <wp:docPr id="384" name="Frame383"/>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65100" cy="175260"/>
                      <wp:effectExtent l="0" t="0" r="0" b="0"/>
                      <wp:wrapNone/>
                      <wp:docPr id="385" name="Frame38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341630" cy="175260"/>
                      <wp:effectExtent l="0" t="0" r="0" b="0"/>
                      <wp:wrapNone/>
                      <wp:docPr id="386" name="Frame385"/>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21285" cy="175260"/>
                      <wp:effectExtent l="0" t="0" r="0" b="0"/>
                      <wp:wrapNone/>
                      <wp:docPr id="387" name="Frame38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w:t>
            </w:r>
          </w:p>
        </w:tc>
        <w:tc>
          <w:tcPr>
            <w:tcW w:w="20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Non-U.S.</w:t>
            </w:r>
          </w:p>
        </w:tc>
        <w:tc>
          <w:tcPr>
            <w:tcW w:w="19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46" w:type="dxa"/>
            <w:tcBorders/>
            <w:vAlign w:val="center"/>
          </w:tcPr>
          <w:p>
            <w:pPr>
              <w:pStyle w:val="TableContents"/>
              <w:bidi w:val="0"/>
              <w:spacing w:before="0" w:after="0"/>
              <w:ind w:left="0" w:right="0" w:hanging="0"/>
              <w:jc w:val="center"/>
              <w:rPr/>
            </w:pPr>
            <w:r>
              <w:rPr/>
              <w:t>​</w:t>
            </w:r>
          </w:p>
        </w:tc>
        <w:tc>
          <w:tcPr>
            <w:tcW w:w="20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91" w:type="dxa"/>
            <w:tcBorders/>
            <w:vAlign w:val="center"/>
          </w:tcPr>
          <w:p>
            <w:pPr>
              <w:pStyle w:val="TableContents"/>
              <w:bidi w:val="0"/>
              <w:spacing w:before="0" w:after="0"/>
              <w:ind w:left="0" w:right="0" w:hanging="0"/>
              <w:jc w:val="center"/>
              <w:rPr/>
            </w:pPr>
            <w:r>
              <w:rPr/>
              <w:t>​</w:t>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7" w:type="dxa"/>
            <w:tcBorders/>
            <w:vAlign w:val="center"/>
          </w:tcPr>
          <w:p>
            <w:pPr>
              <w:pStyle w:val="TableContents"/>
              <w:bidi w:val="0"/>
              <w:spacing w:before="0" w:after="0"/>
              <w:ind w:left="0" w:right="0" w:hanging="0"/>
              <w:jc w:val="center"/>
              <w:rPr/>
            </w:pPr>
            <w:r>
              <w:rPr/>
              <w:t>  ​ ​ ​</w:t>
            </w:r>
          </w:p>
        </w:tc>
        <w:tc>
          <w:tcPr>
            <w:tcW w:w="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7" w:type="dxa"/>
            <w:tcBorders/>
            <w:vAlign w:val="center"/>
          </w:tcPr>
          <w:p>
            <w:pPr>
              <w:pStyle w:val="TableContents"/>
              <w:bidi w:val="0"/>
              <w:spacing w:before="0" w:after="0"/>
              <w:ind w:left="0" w:right="0" w:hanging="0"/>
              <w:jc w:val="center"/>
              <w:rPr/>
            </w:pPr>
            <w:r>
              <w:rPr/>
              <w:t>  ​ ​ ​</w:t>
            </w:r>
          </w:p>
        </w:tc>
        <w:tc>
          <w:tcPr>
            <w:tcW w:w="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2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2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2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27"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asset return</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2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27"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actuarial loss</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27"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27"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91" w:type="dxa"/>
            <w:tcBorders/>
            <w:vAlign w:val="center"/>
          </w:tcPr>
          <w:p>
            <w:pPr>
              <w:pStyle w:val="TableContents"/>
              <w:bidi w:val="0"/>
              <w:spacing w:before="0" w:after="0"/>
              <w:ind w:left="0" w:right="0" w:hanging="0"/>
              <w:jc w:val="lef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pension cost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27"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27"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components of pension expense, other than the service cost component, are included in Other expense, net in the Condensed Consolidated Results of Operations.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sz w:val="20"/>
        </w:rPr>
        <w:t>9.</w:t>
      </w:r>
      <w:r>
        <w:rPr>
          <w:rFonts w:ascii="Times New Roman;Times;serif" w:hAnsi="Times New Roman;Times;serif"/>
          <w:sz w:val="20"/>
        </w:rPr>
        <w:t xml:space="preserve"> </w:t>
      </w:r>
      <w:r>
        <w:rPr>
          <w:rFonts w:ascii="Times New Roman;Times;serif" w:hAnsi="Times New Roman;Times;serif"/>
          <w:b/>
          <w:sz w:val="20"/>
        </w:rPr>
        <w:t>Income Taxes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calculates its interim tax provision using the estimated annual effective tax rate (“EAETR”) methodology in accordance with ASC 740-270. The EAETR is applied to the year-to-date ordinary income, exclusive of discrete items. The tax effects of discrete items are then included to arrive at the total reported interim tax provision. The determination of the EAETR is based upon a number of estimates, including the estimated annual pretax ordinary income or loss in each tax jurisdiction in which the Company operates. The tax effects of discrete items are recognized in the tax provision in the quarter they occur, in accordance with U.S. GAAP. Depending on various factors, such as the item’s significance in relation to total income and the rate of tax applicable in the jurisdiction to which it relates, discrete items in any quarter can materially impact the reported effective tax rate. The Company’s annual effective tax rate may be affected by the mix of earnings in the U.S. and foreign jurisdictions, and factors such as changes in tax laws, tax rates or regulations, changes in business, changing interpretation of existing tax laws or regulations and the finalization of tax audits and reviews, as well as other factors. As such, there can be significant volatility in interim tax provisions. The annual effective tax rate differs from the statutory US federal tax rate of 21% primarily because of varying non-U.S. tax rates, the impact of the U.S. valuation allowance, non-deductible goodwill impairment charges and the establishment of a valuation allowance against net deferred tax assets in various European jurisdictions. The Company continues to evaluate the realizability of deferred tax assets each reporting period.</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currently under income tax examination in various tax jurisdictions in which it operates, including Brazil, Canada, Colombia, Italy, Peru and Poland. The years under examination range from 2004 through 2024. The Company has received tax assessments in excess of established reserves. The Company is contesting these tax assessments, and will continue to do so, including pursuing all available remedies, such as appeals and litigation, if necessary. The Company believes that adequate provisions for all income tax uncertainties have been made. However, if tax assessments are settled against the Company at amounts in excess of established reserves, it could have a material impact on the Company’s consolidated results of operations, financial position or cash flows. Due to uncertainties regarding the ultimate resolution of income tax examinations, the Company is not able to reasonably estimate any tax assessments that may be settled at amounts in excess of established reserves in future periods, or the future periods in which any income tax payments to settle these provisions for income tax uncertainties.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rFonts w:ascii="Times New Roman;Times;serif" w:hAnsi="Times New Roman;Times;serif"/>
          <w:b/>
          <w:sz w:val="20"/>
        </w:rPr>
      </w:pPr>
      <w:bookmarkStart w:id="1244" w:name="Tc_NmVnXddIaEKvrJT4Ka74hA_26_8"/>
      <w:bookmarkStart w:id="1245" w:name="Tc_9scLH8B3E0qicTkWpcYnrg_26_5"/>
      <w:bookmarkStart w:id="1246" w:name="Tc_rbSeQPMlEEqre00vDV1Jug_26_2"/>
      <w:bookmarkStart w:id="1247" w:name="Tc_e3jA9rprqUi1bFhmtjB7Gg_26_0"/>
      <w:bookmarkStart w:id="1248" w:name="Tc_renYQtT1pEWZ4GNnIEhnvw_25_0"/>
      <w:bookmarkStart w:id="1249" w:name="Tc_yulHSWdkzUelj2JYd988cQ_24_0"/>
      <w:bookmarkStart w:id="1250" w:name="Tc_SxzLm7a5sUWulx0VZtWsxw_23_0"/>
      <w:bookmarkStart w:id="1251" w:name="Tc_zeFuhcAhbES4Yp4AA7x0oA_22_0"/>
      <w:bookmarkStart w:id="1252" w:name="Tc_UgjMm81GoU2-lQPnOaFrjA_21_0"/>
      <w:bookmarkStart w:id="1253" w:name="Tc_Ol3jJNV8okqn_1F34GOvEw_20_0"/>
      <w:bookmarkStart w:id="1254" w:name="Tc_nwqvpAR-Y0OgTVX2aOQHZw_19_0"/>
      <w:bookmarkStart w:id="1255" w:name="Tc_oU1H92cyUU2vFawhHP15fg_18_0"/>
      <w:bookmarkStart w:id="1256" w:name="Tc_dNf6mMSBwUOjo2SCcx2Oow_17_0"/>
      <w:bookmarkStart w:id="1257" w:name="Tc_oFWi-QDeOkCZM9_c9LI3ZA_16_0"/>
      <w:bookmarkStart w:id="1258" w:name="Tc_OTl3mmCgVUK9VKBUhCg8Nw_15_0"/>
      <w:bookmarkStart w:id="1259" w:name="Tc_7pU-zCdnH0u7-WiJUmsfKA_14_0"/>
      <w:bookmarkStart w:id="1260" w:name="Tc_rykBXvquQ0KdDoEyIWA3eA_13_0"/>
      <w:bookmarkStart w:id="1261" w:name="Tc_vRO_Fk6Po0qa6zLTGpx5nA_12_0"/>
      <w:bookmarkStart w:id="1262" w:name="Tc_-PdJnAR8v0aftJgHBqNk1g_11_0"/>
      <w:bookmarkStart w:id="1263" w:name="Tc_1iLgAiIHNUipjR9JhL4gXQ_10_0"/>
      <w:bookmarkStart w:id="1264" w:name="Tc_UCj412h2Pk-VTEBPpUNJkw_9_0"/>
      <w:bookmarkStart w:id="1265" w:name="Tc_x_YVe-GjrUyx5dyqSTTjWg_8_0"/>
      <w:bookmarkStart w:id="1266" w:name="Tc_fJ6hTZKHjEuIpEZvD2VvBQ_7_0"/>
      <w:bookmarkStart w:id="1267" w:name="Tc_eXZsnzTWhkmVBd8TY036cQ_6_0"/>
      <w:bookmarkStart w:id="1268" w:name="Tc_UDYmb3JEiUqCcRf4CWZuQA_5_9"/>
      <w:bookmarkStart w:id="1269" w:name="Tc_h750PKBPREu65aHVWFt8Qg_5_8"/>
      <w:bookmarkStart w:id="1270" w:name="Tc_5nJ7ws0svE2NFNFSJcLGlA_5_6"/>
      <w:bookmarkStart w:id="1271" w:name="Tc_d7-QSuNJ80a6M-wDqFs1bg_5_5"/>
      <w:bookmarkStart w:id="1272" w:name="Tc_sZISgVsNkEKEFgeH7ScuHA_5_2"/>
      <w:bookmarkStart w:id="1273" w:name="Tc_xhKMDU1pQkaEQcJE3unGvA_5_0"/>
      <w:bookmarkStart w:id="1274" w:name="Tc_ICze_1MpdUCyPmbD2Oi-ww_4_0"/>
      <w:bookmarkStart w:id="1275" w:name="Tc_KdPqjvjcJE-DhmEJrXe45Q_3_0"/>
      <w:bookmarkStart w:id="1276" w:name="Tc_A7AZ462vJ0ynTAbOOXf5BQ_2_8"/>
      <w:bookmarkStart w:id="1277" w:name="Tc_BSyObKrcXEaqJrhqQSqAMQ_2_5"/>
      <w:bookmarkStart w:id="1278" w:name="Tc_H-V3DxZxEkqLsyh24695fg_2_2"/>
      <w:bookmarkStart w:id="1279" w:name="Tc_ZQaEyShuXEmnR2aEyPiZXQ_1_8"/>
      <w:bookmarkStart w:id="1280" w:name="Tc_2xB8undttUCtyb5S0VEfew_1_5"/>
      <w:bookmarkStart w:id="1281" w:name="Tc_kR0qykO5gUSRwyWy1j8lUg_1_2"/>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Pr>
          <w:rFonts w:ascii="Times New Roman;Times;serif" w:hAnsi="Times New Roman;Times;serif"/>
          <w:b/>
          <w:sz w:val="20"/>
        </w:rPr>
        <w:t>10. Debt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long-term debt of the Company at June 30, 2026, December 31, 2025, and June 30, 2025:</w:t>
      </w:r>
    </w:p>
    <w:p>
      <w:pPr>
        <w:pStyle w:val="TextBody"/>
        <w:bidi w:val="0"/>
        <w:spacing w:before="0" w:after="0"/>
        <w:ind w:left="0" w:right="0" w:hanging="0"/>
        <w:jc w:val="left"/>
        <w:rPr/>
      </w:pPr>
      <w:r>
        <w:rPr/>
        <w:t>​</w:t>
      </w:r>
    </w:p>
    <w:tbl>
      <w:tblPr>
        <w:tblW w:w="6957" w:type="dxa"/>
        <w:jc w:val="left"/>
        <w:tblInd w:w="0" w:type="dxa"/>
        <w:tblLayout w:type="fixed"/>
        <w:tblCellMar>
          <w:top w:w="0" w:type="dxa"/>
          <w:left w:w="0" w:type="dxa"/>
          <w:bottom w:w="0" w:type="dxa"/>
          <w:right w:w="0" w:type="dxa"/>
        </w:tblCellMar>
      </w:tblPr>
      <w:tblGrid>
        <w:gridCol w:w="3061"/>
        <w:gridCol w:w="346"/>
        <w:gridCol w:w="211"/>
        <w:gridCol w:w="571"/>
        <w:gridCol w:w="346"/>
        <w:gridCol w:w="306"/>
        <w:gridCol w:w="834"/>
        <w:gridCol w:w="346"/>
        <w:gridCol w:w="211"/>
        <w:gridCol w:w="571"/>
        <w:gridCol w:w="154"/>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943735" cy="175895"/>
                      <wp:effectExtent l="0" t="0" r="0" b="0"/>
                      <wp:wrapNone/>
                      <wp:docPr id="388" name="Frame387"/>
                      <a:graphic xmlns:a="http://schemas.openxmlformats.org/drawingml/2006/main">
                        <a:graphicData uri="http://schemas.microsoft.com/office/word/2010/wordprocessingShape">
                          <wps:wsp>
                            <wps:cNvSpPr txBox="1"/>
                            <wps:spPr>
                              <a:xfrm>
                                <a:off x="0" y="0"/>
                                <a:ext cx="19437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895"/>
                      <wp:effectExtent l="0" t="0" r="0" b="0"/>
                      <wp:wrapNone/>
                      <wp:docPr id="389" name="Frame38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895"/>
                      <wp:effectExtent l="0" t="0" r="0" b="0"/>
                      <wp:wrapNone/>
                      <wp:docPr id="390" name="Frame38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62585" cy="175895"/>
                      <wp:effectExtent l="0" t="0" r="0" b="0"/>
                      <wp:wrapNone/>
                      <wp:docPr id="391" name="Frame390"/>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895"/>
                      <wp:effectExtent l="0" t="0" r="0" b="0"/>
                      <wp:wrapNone/>
                      <wp:docPr id="392" name="Frame39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94310" cy="175895"/>
                      <wp:effectExtent l="0" t="0" r="0" b="0"/>
                      <wp:wrapNone/>
                      <wp:docPr id="393" name="Frame392"/>
                      <a:graphic xmlns:a="http://schemas.openxmlformats.org/drawingml/2006/main">
                        <a:graphicData uri="http://schemas.microsoft.com/office/word/2010/wordprocessingShape">
                          <wps:wsp>
                            <wps:cNvSpPr txBox="1"/>
                            <wps:spPr>
                              <a:xfrm>
                                <a:off x="0" y="0"/>
                                <a:ext cx="1943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29590" cy="175895"/>
                      <wp:effectExtent l="0" t="0" r="0" b="0"/>
                      <wp:wrapNone/>
                      <wp:docPr id="394" name="Frame393"/>
                      <a:graphic xmlns:a="http://schemas.openxmlformats.org/drawingml/2006/main">
                        <a:graphicData uri="http://schemas.microsoft.com/office/word/2010/wordprocessingShape">
                          <wps:wsp>
                            <wps:cNvSpPr txBox="1"/>
                            <wps:spPr>
                              <a:xfrm>
                                <a:off x="0" y="0"/>
                                <a:ext cx="52959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895"/>
                      <wp:effectExtent l="0" t="0" r="0" b="0"/>
                      <wp:wrapNone/>
                      <wp:docPr id="395" name="Frame39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895"/>
                      <wp:effectExtent l="0" t="0" r="0" b="0"/>
                      <wp:wrapNone/>
                      <wp:docPr id="396" name="Frame39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62585" cy="175895"/>
                      <wp:effectExtent l="0" t="0" r="0" b="0"/>
                      <wp:wrapNone/>
                      <wp:docPr id="397" name="Frame396"/>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97790" cy="175895"/>
                      <wp:effectExtent l="0" t="0" r="0" b="0"/>
                      <wp:wrapNone/>
                      <wp:docPr id="398" name="Frame397"/>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782"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1" w:after="0"/>
              <w:ind w:left="0" w:right="0" w:hanging="0"/>
              <w:jc w:val="center"/>
              <w:rPr/>
            </w:pPr>
            <w:r>
              <w:rPr/>
              <w:t>​</w:t>
            </w:r>
          </w:p>
        </w:tc>
        <w:tc>
          <w:tcPr>
            <w:tcW w:w="1140"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46" w:type="dxa"/>
            <w:tcBorders/>
            <w:vAlign w:val="center"/>
          </w:tcPr>
          <w:p>
            <w:pPr>
              <w:pStyle w:val="TableContents"/>
              <w:bidi w:val="0"/>
              <w:spacing w:before="1" w:after="0"/>
              <w:ind w:left="0" w:right="0" w:hanging="0"/>
              <w:jc w:val="center"/>
              <w:rPr/>
            </w:pPr>
            <w:r>
              <w:rPr/>
              <w:t>​</w:t>
            </w:r>
          </w:p>
        </w:tc>
        <w:tc>
          <w:tcPr>
            <w:tcW w:w="782" w:type="dxa"/>
            <w:gridSpan w:val="2"/>
            <w:tcBorders/>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1"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Secured Credit Agreement: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shd w:fill="CCEEFF" w:val="clear"/>
            <w:vAlign w:val="center"/>
          </w:tcPr>
          <w:p>
            <w:pPr>
              <w:pStyle w:val="TableContents"/>
              <w:bidi w:val="0"/>
              <w:spacing w:before="1" w:after="0"/>
              <w:ind w:left="0" w:right="0" w:hanging="0"/>
              <w:jc w:val="left"/>
              <w:rPr/>
            </w:pPr>
            <w:r>
              <w:rPr/>
              <w:t>​</w:t>
            </w:r>
          </w:p>
        </w:tc>
        <w:tc>
          <w:tcPr>
            <w:tcW w:w="834"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left"/>
              <w:rPr/>
            </w:pPr>
            <w:r>
              <w:rPr/>
              <w:t>​</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left"/>
              <w:rPr/>
            </w:pPr>
            <w:r>
              <w:rPr/>
              <w:t>​</w:t>
            </w:r>
          </w:p>
        </w:tc>
        <w:tc>
          <w:tcPr>
            <w:tcW w:w="834"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Revolving Loans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Term Loans:</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left"/>
              <w:rPr/>
            </w:pPr>
            <w:r>
              <w:rPr/>
              <w:t>​</w:t>
            </w:r>
          </w:p>
        </w:tc>
        <w:tc>
          <w:tcPr>
            <w:tcW w:w="834"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Term Loans A</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shd w:fill="CCEEFF" w:val="clear"/>
            <w:vAlign w:val="center"/>
          </w:tcPr>
          <w:p>
            <w:pPr>
              <w:pStyle w:val="TableContents"/>
              <w:bidi w:val="0"/>
              <w:spacing w:before="1" w:after="0"/>
              <w:ind w:left="0" w:right="0" w:hanging="0"/>
              <w:jc w:val="right"/>
              <w:rPr/>
            </w:pPr>
            <w:r>
              <w:rPr/>
              <w:t>​</w:t>
            </w:r>
          </w:p>
        </w:tc>
        <w:tc>
          <w:tcPr>
            <w:tcW w:w="834"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799</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Term Loans B</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right"/>
              <w:rPr/>
            </w:pPr>
            <w:r>
              <w:rPr/>
              <w:t>​</w:t>
            </w:r>
          </w:p>
        </w:tc>
        <w:tc>
          <w:tcPr>
            <w:tcW w:w="834"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pPr>
            <w:r>
              <w:rPr/>
              <w:t>​</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Previous Secured Credit Agreement: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shd w:fill="CCEEFF" w:val="clear"/>
            <w:vAlign w:val="center"/>
          </w:tcPr>
          <w:p>
            <w:pPr>
              <w:pStyle w:val="TableContents"/>
              <w:bidi w:val="0"/>
              <w:spacing w:before="1" w:after="0"/>
              <w:ind w:left="0" w:right="0" w:hanging="0"/>
              <w:jc w:val="left"/>
              <w:rPr/>
            </w:pPr>
            <w:r>
              <w:rPr/>
              <w:t>​</w:t>
            </w:r>
          </w:p>
        </w:tc>
        <w:tc>
          <w:tcPr>
            <w:tcW w:w="834"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left"/>
              <w:rPr/>
            </w:pPr>
            <w:r>
              <w:rPr/>
              <w:t>​</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left"/>
              <w:rPr/>
            </w:pPr>
            <w:r>
              <w:rPr/>
              <w:t>​</w:t>
            </w:r>
          </w:p>
        </w:tc>
        <w:tc>
          <w:tcPr>
            <w:tcW w:w="834"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Revolving Loans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shd w:fill="CCEEFF" w:val="clear"/>
            <w:vAlign w:val="center"/>
          </w:tcPr>
          <w:p>
            <w:pPr>
              <w:pStyle w:val="TableContents"/>
              <w:bidi w:val="0"/>
              <w:spacing w:before="1" w:after="0"/>
              <w:ind w:left="0" w:right="0" w:hanging="0"/>
              <w:jc w:val="left"/>
              <w:rPr/>
            </w:pPr>
            <w:r>
              <w:rPr/>
              <w:t>​</w:t>
            </w:r>
          </w:p>
        </w:tc>
        <w:tc>
          <w:tcPr>
            <w:tcW w:w="834"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Term Loans:</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left"/>
              <w:rPr/>
            </w:pPr>
            <w:r>
              <w:rPr/>
              <w:t>​</w:t>
            </w:r>
          </w:p>
        </w:tc>
        <w:tc>
          <w:tcPr>
            <w:tcW w:w="834"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pPr>
            <w:r>
              <w:rPr/>
              <w:t>​</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Term Loans A</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shd w:fill="CCEEFF" w:val="clear"/>
            <w:vAlign w:val="center"/>
          </w:tcPr>
          <w:p>
            <w:pPr>
              <w:pStyle w:val="TableContents"/>
              <w:bidi w:val="0"/>
              <w:spacing w:before="1" w:after="0"/>
              <w:ind w:left="0" w:right="0" w:hanging="0"/>
              <w:jc w:val="right"/>
              <w:rPr/>
            </w:pPr>
            <w:r>
              <w:rPr/>
              <w:t>​</w:t>
            </w:r>
          </w:p>
        </w:tc>
        <w:tc>
          <w:tcPr>
            <w:tcW w:w="834"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Senior Notes:</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left"/>
              <w:rPr/>
            </w:pPr>
            <w:r>
              <w:rPr/>
              <w:t>​</w:t>
            </w:r>
          </w:p>
        </w:tc>
        <w:tc>
          <w:tcPr>
            <w:tcW w:w="834" w:type="dxa"/>
            <w:tcBorders/>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pPr>
            <w:r>
              <w:rPr/>
              <w:t>​</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6.625%, due 2027</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shd w:fill="CCEEFF" w:val="clear"/>
            <w:vAlign w:val="center"/>
          </w:tcPr>
          <w:p>
            <w:pPr>
              <w:pStyle w:val="TableContents"/>
              <w:bidi w:val="0"/>
              <w:spacing w:before="1" w:after="0"/>
              <w:ind w:left="0" w:right="0" w:hanging="0"/>
              <w:jc w:val="left"/>
              <w:rPr/>
            </w:pPr>
            <w:r>
              <w:rPr/>
              <w:t>​</w:t>
            </w:r>
          </w:p>
        </w:tc>
        <w:tc>
          <w:tcPr>
            <w:tcW w:w="834"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6.250%, due 2028 (€600 million)</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left"/>
              <w:rPr/>
            </w:pPr>
            <w:r>
              <w:rPr/>
              <w:t>​</w:t>
            </w:r>
          </w:p>
        </w:tc>
        <w:tc>
          <w:tcPr>
            <w:tcW w:w="834"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5.250%, due 2029 (€500 million)</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shd w:fill="CCEEFF" w:val="clear"/>
            <w:vAlign w:val="center"/>
          </w:tcPr>
          <w:p>
            <w:pPr>
              <w:pStyle w:val="TableContents"/>
              <w:bidi w:val="0"/>
              <w:spacing w:before="1" w:after="0"/>
              <w:ind w:left="0" w:right="0" w:hanging="0"/>
              <w:jc w:val="left"/>
              <w:rPr/>
            </w:pPr>
            <w:r>
              <w:rPr/>
              <w:t>​</w:t>
            </w:r>
          </w:p>
        </w:tc>
        <w:tc>
          <w:tcPr>
            <w:tcW w:w="834"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4.750%, due 2030</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left"/>
              <w:rPr/>
            </w:pPr>
            <w:r>
              <w:rPr/>
              <w:t>​</w:t>
            </w:r>
          </w:p>
        </w:tc>
        <w:tc>
          <w:tcPr>
            <w:tcW w:w="834"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7.250%, due 2031</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shd w:fill="CCEEFF" w:val="clear"/>
            <w:vAlign w:val="center"/>
          </w:tcPr>
          <w:p>
            <w:pPr>
              <w:pStyle w:val="TableContents"/>
              <w:bidi w:val="0"/>
              <w:spacing w:before="1" w:after="0"/>
              <w:ind w:left="0" w:right="0" w:hanging="0"/>
              <w:jc w:val="left"/>
              <w:rPr/>
            </w:pPr>
            <w:r>
              <w:rPr/>
              <w:t>​</w:t>
            </w:r>
          </w:p>
        </w:tc>
        <w:tc>
          <w:tcPr>
            <w:tcW w:w="834"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7.375%, due 2032</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left"/>
              <w:rPr/>
            </w:pPr>
            <w:r>
              <w:rPr/>
              <w:t>​</w:t>
            </w:r>
          </w:p>
        </w:tc>
        <w:tc>
          <w:tcPr>
            <w:tcW w:w="834"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9.500%, due 2033</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571"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shd w:fill="CCEEFF" w:val="clear"/>
            <w:vAlign w:val="center"/>
          </w:tcPr>
          <w:p>
            <w:pPr>
              <w:pStyle w:val="TableContents"/>
              <w:bidi w:val="0"/>
              <w:spacing w:before="1" w:after="0"/>
              <w:ind w:left="0" w:right="0" w:hanging="0"/>
              <w:jc w:val="left"/>
              <w:rPr/>
            </w:pPr>
            <w:r>
              <w:rPr/>
              <w:t>​</w:t>
            </w:r>
          </w:p>
        </w:tc>
        <w:tc>
          <w:tcPr>
            <w:tcW w:w="834" w:type="dxa"/>
            <w:tcBorders/>
            <w:shd w:fill="CCEEFF" w:val="clear"/>
            <w:vAlign w:val="center"/>
          </w:tcPr>
          <w:p>
            <w:pPr>
              <w:pStyle w:val="TableContents"/>
              <w:bidi w:val="0"/>
              <w:spacing w:before="1" w:after="0"/>
              <w:ind w:left="0" w:right="0" w:hanging="0"/>
              <w:jc w:val="righ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571" w:type="dxa"/>
            <w:tcBorders/>
            <w:shd w:fill="CCEEFF" w:val="clear"/>
            <w:vAlign w:val="center"/>
          </w:tcPr>
          <w:p>
            <w:pPr>
              <w:pStyle w:val="TableContents"/>
              <w:bidi w:val="0"/>
              <w:spacing w:before="1" w:after="0"/>
              <w:ind w:left="0" w:right="0" w:hanging="0"/>
              <w:jc w:val="right"/>
              <w:rPr/>
            </w:pPr>
            <w:r>
              <w:rPr/>
              <w:t>​</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right"/>
              <w:rPr/>
            </w:pPr>
            <w:r>
              <w:rPr/>
              <w:t>​</w:t>
            </w:r>
          </w:p>
        </w:tc>
        <w:tc>
          <w:tcPr>
            <w:tcW w:w="834"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 </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4,856</w:t>
            </w:r>
          </w:p>
        </w:tc>
        <w:tc>
          <w:tcPr>
            <w:tcW w:w="346" w:type="dxa"/>
            <w:tcBorders/>
            <w:vAlign w:val="center"/>
          </w:tcPr>
          <w:p>
            <w:pPr>
              <w:pStyle w:val="TableContents"/>
              <w:bidi w:val="0"/>
              <w:spacing w:before="1" w:after="0"/>
              <w:ind w:left="0" w:right="0" w:hanging="0"/>
              <w:jc w:val="left"/>
              <w:rPr/>
            </w:pPr>
            <w:r>
              <w:rPr/>
              <w:t>​</w:t>
            </w:r>
          </w:p>
        </w:tc>
        <w:tc>
          <w:tcPr>
            <w:tcW w:w="306" w:type="dxa"/>
            <w:tcBorders/>
            <w:vAlign w:val="center"/>
          </w:tcPr>
          <w:p>
            <w:pPr>
              <w:pStyle w:val="TableContents"/>
              <w:bidi w:val="0"/>
              <w:spacing w:before="1" w:after="0"/>
              <w:ind w:left="0" w:right="0" w:hanging="0"/>
              <w:jc w:val="right"/>
              <w:rPr/>
            </w:pPr>
            <w:r>
              <w:rPr/>
              <w:t> </w:t>
            </w:r>
          </w:p>
        </w:tc>
        <w:tc>
          <w:tcPr>
            <w:tcW w:w="834"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4,903</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57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5,003</w:t>
            </w:r>
          </w:p>
        </w:tc>
        <w:tc>
          <w:tcPr>
            <w:tcW w:w="154" w:type="dxa"/>
            <w:tcBorders/>
            <w:vAlign w:val="center"/>
          </w:tcPr>
          <w:p>
            <w:pPr>
              <w:pStyle w:val="TableContents"/>
              <w:bidi w:val="0"/>
              <w:spacing w:before="1" w:after="0"/>
              <w:ind w:left="0" w:right="0" w:hanging="0"/>
              <w:jc w:val="left"/>
              <w:rPr/>
            </w:pPr>
            <w:r>
              <w:rPr/>
              <w:t>​</w:t>
            </w:r>
          </w:p>
        </w:tc>
      </w:tr>
      <w:tr>
        <w:trPr/>
        <w:tc>
          <w:tcPr>
            <w:tcW w:w="306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Less amounts due within one year</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shd w:fill="CCEEFF" w:val="clear"/>
            <w:vAlign w:val="center"/>
          </w:tcPr>
          <w:p>
            <w:pPr>
              <w:pStyle w:val="TableContents"/>
              <w:bidi w:val="0"/>
              <w:spacing w:before="1"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54" w:type="dxa"/>
            <w:tcBorders/>
            <w:shd w:fill="CCEEFF" w:val="clear"/>
            <w:vAlign w:val="center"/>
          </w:tcPr>
          <w:p>
            <w:pPr>
              <w:pStyle w:val="TableContents"/>
              <w:bidi w:val="0"/>
              <w:spacing w:before="1" w:after="0"/>
              <w:ind w:left="0" w:right="0" w:hanging="0"/>
              <w:jc w:val="left"/>
              <w:rPr/>
            </w:pPr>
            <w:r>
              <w:rPr/>
              <w:t>​</w:t>
            </w:r>
          </w:p>
        </w:tc>
      </w:tr>
      <w:tr>
        <w:trPr/>
        <w:tc>
          <w:tcPr>
            <w:tcW w:w="306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4,793</w:t>
            </w:r>
          </w:p>
        </w:tc>
        <w:tc>
          <w:tcPr>
            <w:tcW w:w="346" w:type="dxa"/>
            <w:tcBorders/>
            <w:vAlign w:val="center"/>
          </w:tcPr>
          <w:p>
            <w:pPr>
              <w:pStyle w:val="TableContents"/>
              <w:bidi w:val="0"/>
              <w:spacing w:before="1"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4,837</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4,898</w:t>
            </w:r>
          </w:p>
        </w:tc>
        <w:tc>
          <w:tcPr>
            <w:tcW w:w="154" w:type="dxa"/>
            <w:tcBorders/>
            <w:vAlign w:val="center"/>
          </w:tcPr>
          <w:p>
            <w:pPr>
              <w:pStyle w:val="TableContents"/>
              <w:bidi w:val="0"/>
              <w:spacing w:before="1" w:after="0"/>
              <w:ind w:left="0" w:right="0" w:hanging="0"/>
              <w:jc w:val="left"/>
              <w:rPr/>
            </w:pPr>
            <w:r>
              <w:rPr/>
              <w:t>​</w:t>
            </w:r>
          </w:p>
        </w:tc>
      </w:tr>
    </w:tbl>
    <w:p>
      <w:pPr>
        <w:pStyle w:val="TextBody"/>
        <w:bidi w:val="0"/>
        <w:spacing w:before="120" w:after="283"/>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presents debt issuance costs in the Condensed Consolidated Balance Sheets as a deduction of the carrying amount of the related debt liability.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September 30, 2025, certain of the Company’s subsidiaries entered into an Amended and Restated Credit Agreement and Syndicated Facility Agreement (the “Credit Agreement”), which refinanced in full the previous credit agreement. The Credit Agreement provides for up to $2.7 billion of borrowings pursuant to term loans A, term loans B and a revolving credit facility. The term loans A mature, and the revolving credit facility terminates, in September 2030, and the term loans B mature in September 2032; provided, however, that if any of the senior notes issued by certain subsidiaries of the Company are outstanding on the date that is 91 days prior to the maturity date for such senior notes (any such date, a “Springing Maturity Date”), then the term loans A, the revolving credit facility and the term loans B will mature and terminate, as applicable, on such Springing Maturity Date. Borrowings under the Credit Agreement are secured by certain collateral of the Company and certain of its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June 30, 2026, the Credit Agreement includes a $1.25 billion multicurrency revolving credit facility, the U.S. dollar equivalent of $800 million in term loan A facilities ($790 </w:t>
      </w:r>
      <w:r>
        <w:rPr>
          <w:rFonts w:ascii="Times New Roman;Times;serif" w:hAnsi="Times New Roman;Times;serif"/>
          <w:color w:val="212529"/>
          <w:sz w:val="20"/>
        </w:rPr>
        <w:t>million outstanding balance at June 30, 2026, net of debt issuance costs</w:t>
      </w:r>
      <w:r>
        <w:rPr>
          <w:rFonts w:ascii="Times New Roman;Times;serif" w:hAnsi="Times New Roman;Times;serif"/>
          <w:sz w:val="20"/>
        </w:rPr>
        <w:t xml:space="preserve">) and $650 million in term loan B facilities ($640 million outstanding balance at June 30, 2026, net of debt issuance costs). At June 30, 2026, the Company’s subsidiaries that are party to the Credit Agreement had unused credit of $1.11 billion available under the revolving credit facilities as part of the Credit Agreement. The weighted average interest rate on borrowings outstanding under the Credit Agreement at June 30, 2026 was 5.50%.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Credit Agreement contains various covenants that restrict, among other things and subject to certain exceptions, the ability of the Company to incur certain indebtedness and liens, make certain investments, become liable under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obligations in certain defined instances only, make restricted payments, make certain asset sales within guidelines and limits, engage in certain affiliate transactions, participate in sale and leaseback financing arrangements, alter its fundamental business, and amend certain subordinated debt obligations.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Credit Agreement also contains one financial maintenance covenant, a Secured Leverage Ratio, for the benefit of lenders under the term loans A and the revolving credit facility (and, following an acceleration of the term loans A and the revolving credit facility, for the benefit of the lenders under the term loans B) that requires the Company and certain of its subsidiaries, collectively, not to exceed a ratio of 2.50x calculated by dividing consolidated Net Indebtedness that is then secured by Liens on property or assets of the Company and certain of its subsidiaries by Consolidated EBITDA, as each such capitalized term is defined in the Credit Agreement. The Secured Leverage Ratio could restrict the ability of the Company and certain of its subsidiaries to undertake additional financing or acquisitions to the extent that such financing or acquisitions would cause the Secured Leverage Ratio to exceed the specified maximum.</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Failure to comply with these covenants and restrictions could result in an event of default under the Credit Agreement. In such an event, the applicable borrowers under the Credit Agreement would not be able to request borrowings under the revolving credit facility, and all amounts outstanding under the Credit Agreement, together with accrued interest, could then be declared immediately due and payable. Upon the occurrence and for the duration of a payment event of default, an additional default interest rate equal to 2.0% per annum will apply to all overdue obligations under the Credit Agreement.  If an event of default occurs under the Credit Agreement and the lenders cause all of the outstanding debt obligations under the Credit Agreement to become due and payable, this could result in a default under a number of other outstanding debt securities and could lead to an acceleration of obligations related to these debt securities.  As of June 30, 2026, the Company was in compliance with all covenants and restrictions in the Credit Agreement.  In addition, the Company believes that it will remain in compliance for the term of the Credit Agreement and that its ability to borrow additional funds under the Credit Agreement will not be adversely affected by the covenants and restrictions.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Total Leverage Ratio (as defined in the Credit Agreement) determines pricing under the Credit Agreement for the Term Loans A and the revolving credit facility. The interest rate on borrowings under the Credit Agreement is, at the option of the applicable borrower, the Base Rate, Term SOFR or, for non-U.S. Dollar borrowings only, the Eurocurrency Rate (each such capitalized term as defined in the Credit Agreement), plus an applicable margin. The applicable margin, for the Term Loans A and the revolving credit facility, ranges from 1.00% to 1.75% for Term SOFR loans and Eurocurrency Rate loans and from 0.00% to 0.75% for Base Rate loans. The applicable margin, for the Term Loans B, is 3.00% for Term SOFR loans. In addition, a commitment fee is payable on the unused revolving credit facility commitments ranging from 0.20% to 0.35% per annum, depending on the Total Leverage Ratio. </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Obligations under the Credit Agreement are secured by substantially all of the assets, excluding real estate and certain other excluded assets, of certain of the Company’s domestic subsidiaries and certain foreign subsidiaries. Such obligations are also secured by a pledge of intercompany debt and equity investments in certain of the Company’s domestic subsidiaries and, in the case of foreign obligations, of stock of certain foreign subsidiaries. All obligations under the Credit Agreement are guaranteed by certain domestic subsidiaries of the Company, and certain foreign obligations under the Credit Agreement are guaranteed by certain foreign subsidiaries of the Company.</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May 2026, the Company issued $500 million aggregate principal amount of senior notes that bear interest at 9.500% and mature on June 1, 2033. </w:t>
      </w:r>
      <w:r>
        <w:rPr>
          <w:rFonts w:ascii="Times New Roman;Times;serif" w:hAnsi="Times New Roman;Times;serif"/>
          <w:color w:val="212529"/>
          <w:sz w:val="20"/>
        </w:rPr>
        <w:t>The senior notes were issued via private placements and are guaranteed by certain of the Company’s subsidiaries. The net proceeds, after deducting debt issuance</w:t>
      </w:r>
      <w:r>
        <w:rPr>
          <w:rFonts w:ascii="Times New Roman;Times;serif" w:hAnsi="Times New Roman;Times;serif"/>
          <w:sz w:val="20"/>
        </w:rPr>
        <w:t xml:space="preserve"> </w:t>
      </w:r>
      <w:r>
        <w:rPr>
          <w:rFonts w:ascii="Times New Roman;Times;serif" w:hAnsi="Times New Roman;Times;serif"/>
          <w:color w:val="212529"/>
          <w:sz w:val="20"/>
        </w:rPr>
        <w:t>costs, were used to repurchase and redeem the aggregate principal amounts described in the May 2026 redemption below.</w:t>
      </w:r>
    </w:p>
    <w:p>
      <w:pPr>
        <w:pStyle w:val="TextBody"/>
        <w:shd w:fill="FFFFFF" w:val="clear"/>
        <w:bidi w:val="0"/>
        <w:spacing w:before="0" w:after="240"/>
        <w:ind w:left="0" w:right="0" w:firstLine="360"/>
        <w:jc w:val="left"/>
        <w:rPr>
          <w:rFonts w:ascii="Times New Roman;Times;serif" w:hAnsi="Times New Roman;Times;serif"/>
          <w:color w:val="212529"/>
          <w:sz w:val="20"/>
        </w:rPr>
      </w:pPr>
      <w:r>
        <w:rPr>
          <w:rFonts w:ascii="Times New Roman;Times;serif" w:hAnsi="Times New Roman;Times;serif"/>
          <w:color w:val="212529"/>
          <w:sz w:val="20"/>
        </w:rPr>
        <w:t>In May 2026, the Company redeemed $612 million aggregate principal amount of the outstanding 6.625% Senior Notes due 2027. The redemption was funded in part with the proceeds from the May 2026 senior notes issuances described above. The Company recorded approximately $1 million of additional interest charges related to this senior note redemption for the write-off of unamortized finance fees.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assesses its capital raising and refinancing needs on an ongoing basis and may enter into additional credit facilities and seek to issue equity and/or debt securities in the domestic and international capital markets if market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rFonts w:ascii="Times New Roman;Times;serif" w:hAnsi="Times New Roman;Times;serif"/>
          <w:sz w:val="20"/>
        </w:rPr>
      </w:pPr>
      <w:bookmarkStart w:id="1282" w:name="Tc_mzvebDTo1Emn9RIzg6i3tQ_9_0"/>
      <w:bookmarkStart w:id="1283" w:name="Tc_13UHFJmVj0ieT4UvM_qX6A_8_0"/>
      <w:bookmarkStart w:id="1284" w:name="Tc_ZMqpE8taO0eFy7dH04VyuA_7_0"/>
      <w:bookmarkStart w:id="1285" w:name="Tc_RpReEmxFCkelpTIu622gKA_6_0"/>
      <w:bookmarkStart w:id="1286" w:name="Tc_jQfCxWCDLk2qT8fXoZw07Q_5_0"/>
      <w:bookmarkStart w:id="1287" w:name="Tc_PpdW4Dyamk-Vlho_7LUuXw_4_8"/>
      <w:bookmarkStart w:id="1288" w:name="Tc_SEBSWp1Kg0GhwVbG-nP1Vg_4_2"/>
      <w:bookmarkStart w:id="1289" w:name="Tc_2yzpmtcVnUWu2sC3PhFjNQ_4_0"/>
      <w:bookmarkStart w:id="1290" w:name="Tc_tJImQQkv6U2yWtRpfpO7Rw_3_0"/>
      <w:bookmarkStart w:id="1291" w:name="Tc_TFlcHFyUh02Za__g76IAcw_2_8"/>
      <w:bookmarkStart w:id="1292" w:name="Tc_kc-HMYdMiEuYCy5-ysyucg_2_5"/>
      <w:bookmarkStart w:id="1293" w:name="Tc_sWUoXImd6kilyu7x5k6E2w_2_2"/>
      <w:bookmarkStart w:id="1294" w:name="Tc_NRLx_XL-REqomhFNLYIKLw_1_5"/>
      <w:bookmarkStart w:id="1295" w:name="Tc_EyRw3_n9T0-roYGhD6rrTA_1_2"/>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r>
        <w:rPr>
          <w:rFonts w:ascii="Times New Roman;Times;serif" w:hAnsi="Times New Roman;Times;serif"/>
          <w:sz w:val="20"/>
        </w:rPr>
        <w:t>conditions are favorable. Also, depending on market conditions, the Company may elect to repurchase portions of its debt securities in the open market.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amounts reported for certain long-term debt obligations subject to frequently redetermined interest rates approximate fair value. Fair values for the Company’s significant fixed rate debt obligations are based on published market quotations and are classified as Level 1 in the fair value hierarchy. Fair values at June 30, 2026 of the Company’s significant fixed rate debt obligations are as follows:</w:t>
      </w:r>
    </w:p>
    <w:p>
      <w:pPr>
        <w:pStyle w:val="TextBody"/>
        <w:bidi w:val="0"/>
        <w:spacing w:before="0" w:after="0"/>
        <w:ind w:left="0" w:right="0" w:hanging="0"/>
        <w:jc w:val="left"/>
        <w:rPr/>
      </w:pPr>
      <w:r>
        <w:rPr/>
        <w:t>​</w:t>
      </w:r>
    </w:p>
    <w:tbl>
      <w:tblPr>
        <w:tblW w:w="7089" w:type="dxa"/>
        <w:jc w:val="left"/>
        <w:tblInd w:w="0" w:type="dxa"/>
        <w:tblLayout w:type="fixed"/>
        <w:tblCellMar>
          <w:top w:w="0" w:type="dxa"/>
          <w:left w:w="0" w:type="dxa"/>
          <w:bottom w:w="0" w:type="dxa"/>
          <w:right w:w="0" w:type="dxa"/>
        </w:tblCellMar>
      </w:tblPr>
      <w:tblGrid>
        <w:gridCol w:w="2836"/>
        <w:gridCol w:w="346"/>
        <w:gridCol w:w="255"/>
        <w:gridCol w:w="511"/>
        <w:gridCol w:w="346"/>
        <w:gridCol w:w="195"/>
        <w:gridCol w:w="1215"/>
        <w:gridCol w:w="346"/>
        <w:gridCol w:w="295"/>
        <w:gridCol w:w="590"/>
        <w:gridCol w:w="154"/>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800860" cy="175260"/>
                      <wp:effectExtent l="0" t="0" r="0" b="0"/>
                      <wp:wrapNone/>
                      <wp:docPr id="399" name="Frame398"/>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61925" cy="175260"/>
                      <wp:effectExtent l="0" t="0" r="0" b="0"/>
                      <wp:wrapNone/>
                      <wp:docPr id="401" name="Frame40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24485" cy="175260"/>
                      <wp:effectExtent l="0" t="0" r="0" b="0"/>
                      <wp:wrapNone/>
                      <wp:docPr id="402" name="Frame40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23825" cy="175260"/>
                      <wp:effectExtent l="0" t="0" r="0" b="0"/>
                      <wp:wrapNone/>
                      <wp:docPr id="404" name="Frame403"/>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771525" cy="175260"/>
                      <wp:effectExtent l="0" t="0" r="0" b="0"/>
                      <wp:wrapNone/>
                      <wp:docPr id="405" name="Frame404"/>
                      <a:graphic xmlns:a="http://schemas.openxmlformats.org/drawingml/2006/main">
                        <a:graphicData uri="http://schemas.microsoft.com/office/word/2010/wordprocessingShape">
                          <wps:wsp>
                            <wps:cNvSpPr txBox="1"/>
                            <wps:spPr>
                              <a:xfrm>
                                <a:off x="0" y="0"/>
                                <a:ext cx="771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87325" cy="175260"/>
                      <wp:effectExtent l="0" t="0" r="0" b="0"/>
                      <wp:wrapNone/>
                      <wp:docPr id="407" name="Frame406"/>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74650" cy="175260"/>
                      <wp:effectExtent l="0" t="0" r="0" b="0"/>
                      <wp:wrapNone/>
                      <wp:docPr id="408" name="Frame407"/>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97790" cy="175260"/>
                      <wp:effectExtent l="0" t="0" r="0" b="0"/>
                      <wp:wrapNone/>
                      <wp:docPr id="409" name="Frame40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Indicated Market </w:t>
            </w:r>
          </w:p>
        </w:tc>
        <w:tc>
          <w:tcPr>
            <w:tcW w:w="346" w:type="dxa"/>
            <w:tcBorders/>
            <w:vAlign w:val="center"/>
          </w:tcPr>
          <w:p>
            <w:pPr>
              <w:pStyle w:val="TableContents"/>
              <w:bidi w:val="0"/>
              <w:spacing w:before="0" w:after="0"/>
              <w:ind w:left="0" w:right="0" w:hanging="0"/>
              <w:jc w:val="center"/>
              <w:rPr/>
            </w:pPr>
            <w:r>
              <w:rPr/>
              <w:t>​</w:t>
            </w:r>
          </w:p>
        </w:tc>
        <w:tc>
          <w:tcPr>
            <w:tcW w:w="885"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Price </w:t>
            </w:r>
          </w:p>
        </w:tc>
        <w:tc>
          <w:tcPr>
            <w:tcW w:w="346" w:type="dxa"/>
            <w:tcBorders/>
            <w:vAlign w:val="center"/>
          </w:tcPr>
          <w:p>
            <w:pPr>
              <w:pStyle w:val="TableContents"/>
              <w:bidi w:val="0"/>
              <w:spacing w:before="0" w:after="0"/>
              <w:ind w:left="0" w:right="0" w:hanging="0"/>
              <w:jc w:val="center"/>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due 2028 (€600 million)</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101.61</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due 2029 (€500 million)</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101.76</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4.750%, due 2030</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94.99</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7.250%, due 2031</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98.82</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7.375%, due 2032</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96.05</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9.500%, due 2033</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195"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11.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been identified by the U.S. Environmental Protection Agency (“EPA”) or a comparable state or federal agency as a potentially responsible party (“PRP”) at a number of sites in the U.S., including certain Comprehensive Environmental Response, Compensation, and Liability Act of 1980 (“CERCLA”) (Superfund) sites, as well as sites previously owned or operated by the Company.  As an identified PRP, the Company may have liability for investigation, remediation and monitoring of contamination, as well as associated penalties and natural resource damages, if any. The Company has not had monetary sanctions imposed nor has the Company been notified of any potential monetary sanctions at any of the sites. </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has recorded aggregate accruals of approximately $20 million, $21 million and $38 million (undiscounted) as of June 30, 2026, December 31, 2025 and June 30, 2025, respectively, for estimated future remediation and monitoring costs at these sites. Although the Company believes its accruals are adequate to cover its portion of future remediation and monitoring costs, there can be no assurance that the ultimate payments will not exceed the amount of the Company’s accruals and will not have a material effect on its results of operations, financial position and cash flows.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part of the above, from December 31, 1956 through June 1967, the Company, via a wholly-owned subsidiary, owned and operated a paper mill located on the shore of the Cuyahoga River in Ohio, which is now part of the Cuyahoga Valley National Park that is managed by the National Park Service (“NPS”).  The Company and the United States had been engaged in litigation regarding the site in the U.S. District Court for the Northern District of Ohio (Akron), with the United States claiming that the Company should pay $50 million as a remedy for certain soils at the site as well as its past and anticipated future costs. In 2024, the Company recorded charges of $11 million as its best estimate of this liability. In the first quarter of 2025, the Company and the NPS reached a tentative settlement, and the Company recorded a charge of approximately $4 million to Other expense, net in the Condensed Consolidated Results of Operations to augment its previous accrual balance related to this matter. In the third quarter of 2025, the consent order between the parties was approved by the U.S. District Court, and the Company paid $16.5 million to resolve this matter.</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being investigated by authorities in France for alleged anti-competitive conduct in that country. To date, the French authorities have not officially charged O-I’s business in that country with any violations of competition law. With regard to the above, the Company is committed to compliance with laws in the jurisdictions it operates and maintains policies and procedures regarding competition law.  If the authorities in France find that the Company or any of its subsidiaries or joint ventures violated competition law, they could levy fines, which amounts could be material. At this stage, the Company is unable to predict the ultimate outcome of the investigations, and any potential loss cannot be estimated.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Other litigation is pending against the Company, in some cases involving ordinary and routine claims incidental to the business of the Company and in others presenting allegations that are non-routine and involve compensatory, punitive or treble damage claims as well as other types of relief. The Company records a liability for such matters when it is both probable that the liability has been incurred and the amount of the liability can be reasonably estimated. Recorded amounts are reviewed and adjusted to reflect changes in the factors upon which the estimates are based, including additional information, negotiations, settlements and other events.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96" w:name="Tc_LMBG0DfyJkCDNh9UcNz8FQ_13_20"/>
      <w:bookmarkStart w:id="1297" w:name="Tc_CPCV2viQ2EWLj5wkYdOGfQ_13_17"/>
      <w:bookmarkStart w:id="1298" w:name="Tc_rpOqVTi55kmmQ--BkpdWmg_13_14"/>
      <w:bookmarkStart w:id="1299" w:name="Tc_nPC3EXCTcUCJoiOZ-niqyA_13_11"/>
      <w:bookmarkStart w:id="1300" w:name="Tc_TXqoocHcvUSptwBdCrEdBA_13_8"/>
      <w:bookmarkStart w:id="1301" w:name="Tc_x1BfXHeft0qiDHxK5gy0rA_13_5"/>
      <w:bookmarkStart w:id="1302" w:name="Tc_exu1Te8V-EWtHG0z4hee-Q_13_2"/>
      <w:bookmarkStart w:id="1303" w:name="Tc_7tbIgn1N_UqCi9thw16NEQ_13_0"/>
      <w:bookmarkStart w:id="1304" w:name="Tc_tUZViDWEuUa24wyiD51hEg_12_0"/>
      <w:bookmarkStart w:id="1305" w:name="Tc_pbrr3AQ6iUehJIxCMJFJPg_11_0"/>
      <w:bookmarkStart w:id="1306" w:name="Tc_azgy1nzQVUaD5uVvTZLQiA_10_0"/>
      <w:bookmarkStart w:id="1307" w:name="Tc_rI-iDwH7oESpF7sA6ZBAPw_9_0"/>
      <w:bookmarkStart w:id="1308" w:name="Tc_-SFTcFpjPkyOvcON7S6aRw_8_0"/>
      <w:bookmarkStart w:id="1309" w:name="Tc_u-OTPCnSBEiVwPufB88UTA_7_0"/>
      <w:bookmarkStart w:id="1310" w:name="Tc_KVZumVrzOU-l9j9uaeBR5g_6_20"/>
      <w:bookmarkStart w:id="1311" w:name="Tc_c300tdZfoU-Krb6IbFUfvw_6_17"/>
      <w:bookmarkStart w:id="1312" w:name="Tc_Rr5lWR801Eah3UPEvnIOBg_6_14"/>
      <w:bookmarkStart w:id="1313" w:name="Tc_JoWP9KOS0EKIQ23MTNihIg_6_11"/>
      <w:bookmarkStart w:id="1314" w:name="Tc_vnehC97NeEi2mEwz-XYcaw_6_8"/>
      <w:bookmarkStart w:id="1315" w:name="Tc_mN2NM7H5GkSyULLx2hhY5A_6_5"/>
      <w:bookmarkStart w:id="1316" w:name="Tc_Bf_bj_y6nEmtgeJiTkIyLA_6_2"/>
      <w:bookmarkStart w:id="1317" w:name="Tc_I_XjRWyax0eSzziBZGMLEA_6_0"/>
      <w:bookmarkStart w:id="1318" w:name="Tc_M6DVT8OkvUOs2FMm4dxpUQ_5_20"/>
      <w:bookmarkStart w:id="1319" w:name="Tc__cWk2rL8T06SJ_dPN8K_CQ_5_17"/>
      <w:bookmarkStart w:id="1320" w:name="Tc_HqjNCQu9hUCm3MbFPtegxw_5_14"/>
      <w:bookmarkStart w:id="1321" w:name="Tc_tAYuKpUyKk60RYrlHSuENg_5_11"/>
      <w:bookmarkStart w:id="1322" w:name="Tc_N_pMQ-3iCkqHJG6_rFUVtQ_5_8"/>
      <w:bookmarkStart w:id="1323" w:name="Tc_SXYgjIP9oEufK6IDTTOrnA_5_5"/>
      <w:bookmarkStart w:id="1324" w:name="Tc_GiJgOGWqc0aHAgKL9Vzmtw_5_2"/>
      <w:bookmarkStart w:id="1325" w:name="Tc_zSWJ91hHrki3lZgW--TEWA_4_20"/>
      <w:bookmarkStart w:id="1326" w:name="Tc_D5PNpNaKlUejLtfduGO9ww_4_17"/>
      <w:bookmarkStart w:id="1327" w:name="Tc_VARK4WJAd06uSd5QXHQ83Q_4_14"/>
      <w:bookmarkStart w:id="1328" w:name="Tc_KR59C4DUzk2xLtBhmZTB3A_4_11"/>
      <w:bookmarkStart w:id="1329" w:name="Tc_c-jAd0JZSUeaaoGy81MdHQ_4_8"/>
      <w:bookmarkStart w:id="1330" w:name="Tc_4MtyGG2cQ0yL6ouPg_b8jw_4_5"/>
      <w:bookmarkStart w:id="1331" w:name="Tc_UyNha5IA7kWpX1OsGdj9KQ_4_2"/>
      <w:bookmarkStart w:id="1332" w:name="Tc_MUoDauflQEaEWca8LEDOqg_3_20"/>
      <w:bookmarkStart w:id="1333" w:name="Tc_JGlnwklgg0S-EzlWs3sREg_3_17"/>
      <w:bookmarkStart w:id="1334" w:name="Tc_8-l-_p8RhUqUEK6FgD5idQ_3_14"/>
      <w:bookmarkStart w:id="1335" w:name="Tc_L_2n7U9M_UyUttApKLbTwQ_3_5"/>
      <w:bookmarkStart w:id="1336" w:name="Tc_pItkL35TxUGfzBc3pvPG7Q_2_14"/>
      <w:bookmarkStart w:id="1337" w:name="Tc_AEGQINWeyEOzm6pc5qEgNA_1_2"/>
      <w:bookmarkStart w:id="1338" w:name="_9147f543_29d1_46dd_ab42_1fe1e6ccdaf9"/>
      <w:bookmarkStart w:id="1339" w:name="Tc_PZIHhzC4mEO1nRM0Z5E7BQ_11_20"/>
      <w:bookmarkStart w:id="1340" w:name="Tc_L1kZw2_doEeXZweyJmgkEQ_11_17"/>
      <w:bookmarkStart w:id="1341" w:name="Tc_Mlnhab-UO0-_1FCYZ3fg6A_11_14"/>
      <w:bookmarkStart w:id="1342" w:name="Tc_XHrRUumRg06WaOjFmJe4EQ_11_11"/>
      <w:bookmarkStart w:id="1343" w:name="Tc_as5xc401rE-lVjuUM-uF3A_11_8"/>
      <w:bookmarkStart w:id="1344" w:name="Tc_nfS4_eR4Lke4nGgznxKJ5A_11_5"/>
      <w:bookmarkStart w:id="1345" w:name="Tc_WdoivB_LHkSF_9hT6JdZNQ_11_2"/>
      <w:bookmarkStart w:id="1346" w:name="Tc_wsFQ3krq9kK-oM7mC9ENwg_11_0"/>
      <w:bookmarkStart w:id="1347" w:name="Tc_4Eb6-xJf50eyf3p8h-Yj5w_10_0"/>
      <w:bookmarkStart w:id="1348" w:name="Tc_n7jBYSEEp0y1VuK23Txx_w_9_0"/>
      <w:bookmarkStart w:id="1349" w:name="Tc_c3NVB_fvsUyRn6Q1yfk4WA_8_0"/>
      <w:bookmarkStart w:id="1350" w:name="Tc_yGGxlayxq0C0JmfZ5HDn_g_7_0"/>
      <w:bookmarkStart w:id="1351" w:name="Tc_j_lDko7ZmUeEtURC_UUBWA_6_20"/>
      <w:bookmarkStart w:id="1352" w:name="Tc_DfwjCxMNp0-Khxo-r73EUg_6_17"/>
      <w:bookmarkStart w:id="1353" w:name="Tc_JufLfVEI5EyuItZTnvEyng_6_14"/>
      <w:bookmarkStart w:id="1354" w:name="Tc_kLhO_o25pkOyPKx037iX5g_6_11"/>
      <w:bookmarkStart w:id="1355" w:name="Tc_vVTmfZ_qCkGY1cD5cFHZ6g_6_5"/>
      <w:bookmarkStart w:id="1356" w:name="Tc_l4eemekrtUyBweqIlC7_4w_6_2"/>
      <w:bookmarkStart w:id="1357" w:name="Tc_7juXmIneAUClEC9BvGozLQ_6_0"/>
      <w:bookmarkStart w:id="1358" w:name="Tc_ng0dbAZR1keOyR33HnytJQ_5_20"/>
      <w:bookmarkStart w:id="1359" w:name="Tc_eL1imkSF1kKXEpMHb3eb_g_5_17"/>
      <w:bookmarkStart w:id="1360" w:name="Tc_vdj14DCmIUS_8b-ebeaE9g_5_14"/>
      <w:bookmarkStart w:id="1361" w:name="Tc_hSjKyGuK60im0H9lNovNdQ_5_11"/>
      <w:bookmarkStart w:id="1362" w:name="Tc_8CzeLOsRJE-yxUx36HD1sA_5_8"/>
      <w:bookmarkStart w:id="1363" w:name="Tc_eXWjouycLUy6lTidrJZdAg_5_5"/>
      <w:bookmarkStart w:id="1364" w:name="Tc_rFRQ0ufGsE62AVocdxfYbg_5_2"/>
      <w:bookmarkStart w:id="1365" w:name="Tc_W92uNzuNQ0qcRMFNZHlnVg_4_20"/>
      <w:bookmarkStart w:id="1366" w:name="Tc_pkEWRn_5Q0W4jAsVzVqzHA_4_17"/>
      <w:bookmarkStart w:id="1367" w:name="Tc_FpAqjXPNCkGd9h4YREiSuQ_4_14"/>
      <w:bookmarkStart w:id="1368" w:name="Tc_ZqRIBqQC_ESE1aiW5z_Bww_4_11"/>
      <w:bookmarkStart w:id="1369" w:name="Tc_dchwpUS4LEWx6e2kogDiSg_4_8"/>
      <w:bookmarkStart w:id="1370" w:name="Tc_Hu5CtYnreUyezX5_DN-3JQ_4_5"/>
      <w:bookmarkStart w:id="1371" w:name="Tc_ayiO-v98r0Cl48LX-3xbqQ_4_2"/>
      <w:bookmarkStart w:id="1372" w:name="Tc_xg7eTcMalUajIJdpY5ADNQ_3_20"/>
      <w:bookmarkStart w:id="1373" w:name="Tc_FsS1gUNWO0W9JiDi9rLgXA_3_17"/>
      <w:bookmarkStart w:id="1374" w:name="Tc_UwRbhPfCvkegFk9qDRQkmA_3_14"/>
      <w:bookmarkStart w:id="1375" w:name="Tc_GGQs7kFz1kCgna96BdEdPw_3_11"/>
      <w:bookmarkStart w:id="1376" w:name="Tc_LF3FdyI_U060-k7qSix6_w_3_5"/>
      <w:bookmarkStart w:id="1377" w:name="Tc_Y-u-ZxxDt0GM9j658CDaoA_2_14"/>
      <w:bookmarkStart w:id="1378" w:name="Tc_0lfc93-riESSg4_dG9NL_g_2_11"/>
      <w:bookmarkStart w:id="1379" w:name="Tc_JEt_MuSSO0GBuZOVroKxHw_1_2"/>
      <w:bookmarkStart w:id="1380" w:name="_af0500ea_0788_4aa6_a1c8_a0cee42985d2"/>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r>
        <w:rPr>
          <w:rFonts w:ascii="Times New Roman;Times;serif" w:hAnsi="Times New Roman;Times;serif"/>
          <w:b/>
          <w:sz w:val="20"/>
        </w:rPr>
        <w:t>12. Share Owners’ Equity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activity in share owners’ equity for the three months ended June 30, 2026 and 2025 is as follows:</w:t>
      </w:r>
    </w:p>
    <w:p>
      <w:pPr>
        <w:pStyle w:val="TextBody"/>
        <w:bidi w:val="0"/>
        <w:spacing w:before="0" w:after="0"/>
        <w:ind w:left="0" w:right="0" w:hanging="0"/>
        <w:jc w:val="left"/>
        <w:rPr/>
      </w:pPr>
      <w:r>
        <w:rPr/>
        <w:t>​</w:t>
      </w:r>
    </w:p>
    <w:tbl>
      <w:tblPr>
        <w:tblW w:w="10407" w:type="dxa"/>
        <w:jc w:val="left"/>
        <w:tblInd w:w="0" w:type="dxa"/>
        <w:tblLayout w:type="fixed"/>
        <w:tblCellMar>
          <w:top w:w="0" w:type="dxa"/>
          <w:left w:w="0" w:type="dxa"/>
          <w:bottom w:w="0" w:type="dxa"/>
          <w:right w:w="0" w:type="dxa"/>
        </w:tblCellMar>
      </w:tblPr>
      <w:tblGrid>
        <w:gridCol w:w="1411"/>
        <w:gridCol w:w="346"/>
        <w:gridCol w:w="383"/>
        <w:gridCol w:w="383"/>
        <w:gridCol w:w="346"/>
        <w:gridCol w:w="226"/>
        <w:gridCol w:w="615"/>
        <w:gridCol w:w="346"/>
        <w:gridCol w:w="233"/>
        <w:gridCol w:w="533"/>
        <w:gridCol w:w="346"/>
        <w:gridCol w:w="312"/>
        <w:gridCol w:w="799"/>
        <w:gridCol w:w="346"/>
        <w:gridCol w:w="304"/>
        <w:gridCol w:w="912"/>
        <w:gridCol w:w="346"/>
        <w:gridCol w:w="300"/>
        <w:gridCol w:w="601"/>
        <w:gridCol w:w="346"/>
        <w:gridCol w:w="211"/>
        <w:gridCol w:w="571"/>
        <w:gridCol w:w="19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895985" cy="175260"/>
                      <wp:effectExtent l="0" t="0" r="0" b="0"/>
                      <wp:wrapNone/>
                      <wp:docPr id="410" name="Frame409"/>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43205" cy="175260"/>
                      <wp:effectExtent l="0" t="0" r="0" b="0"/>
                      <wp:wrapNone/>
                      <wp:docPr id="412" name="Frame411"/>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43205" cy="175260"/>
                      <wp:effectExtent l="0" t="0" r="0" b="0"/>
                      <wp:wrapNone/>
                      <wp:docPr id="413" name="Frame412"/>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43510" cy="175260"/>
                      <wp:effectExtent l="0" t="0" r="0" b="0"/>
                      <wp:wrapNone/>
                      <wp:docPr id="415" name="Frame4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90525" cy="175260"/>
                      <wp:effectExtent l="0" t="0" r="0" b="0"/>
                      <wp:wrapNone/>
                      <wp:docPr id="416" name="Frame415"/>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47955" cy="175260"/>
                      <wp:effectExtent l="0" t="0" r="0" b="0"/>
                      <wp:wrapNone/>
                      <wp:docPr id="418" name="Frame41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38455" cy="175260"/>
                      <wp:effectExtent l="0" t="0" r="0" b="0"/>
                      <wp:wrapNone/>
                      <wp:docPr id="419" name="Frame418"/>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98120" cy="175260"/>
                      <wp:effectExtent l="0" t="0" r="0" b="0"/>
                      <wp:wrapNone/>
                      <wp:docPr id="421" name="Frame420"/>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07365" cy="175260"/>
                      <wp:effectExtent l="0" t="0" r="0" b="0"/>
                      <wp:wrapNone/>
                      <wp:docPr id="422" name="Frame421"/>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93040" cy="175260"/>
                      <wp:effectExtent l="0" t="0" r="0" b="0"/>
                      <wp:wrapNone/>
                      <wp:docPr id="424" name="Frame423"/>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79120" cy="175260"/>
                      <wp:effectExtent l="0" t="0" r="0" b="0"/>
                      <wp:wrapNone/>
                      <wp:docPr id="425" name="Frame424"/>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90500" cy="175260"/>
                      <wp:effectExtent l="0" t="0" r="0" b="0"/>
                      <wp:wrapNone/>
                      <wp:docPr id="427" name="Frame426"/>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81635" cy="175260"/>
                      <wp:effectExtent l="0" t="0" r="0" b="0"/>
                      <wp:wrapNone/>
                      <wp:docPr id="428" name="Frame42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62585" cy="175260"/>
                      <wp:effectExtent l="0" t="0" r="0" b="0"/>
                      <wp:wrapNone/>
                      <wp:docPr id="431" name="Frame4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21285" cy="175260"/>
                      <wp:effectExtent l="0" t="0" r="0" b="0"/>
                      <wp:wrapNone/>
                      <wp:docPr id="432" name="Frame43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08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Owners’ Equity of the Company</w:t>
            </w:r>
          </w:p>
        </w:tc>
        <w:tc>
          <w:tcPr>
            <w:tcW w:w="346" w:type="dxa"/>
            <w:tcBorders/>
            <w:vAlign w:val="center"/>
          </w:tcPr>
          <w:p>
            <w:pPr>
              <w:pStyle w:val="TableContents"/>
              <w:bidi w:val="0"/>
              <w:spacing w:before="0" w:after="0"/>
              <w:ind w:left="0" w:right="0" w:hanging="0"/>
              <w:jc w:val="center"/>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  ​ ​ ​</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 in</w:t>
            </w:r>
          </w:p>
        </w:tc>
        <w:tc>
          <w:tcPr>
            <w:tcW w:w="34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Share</w:t>
            </w:r>
          </w:p>
        </w:tc>
        <w:tc>
          <w:tcPr>
            <w:tcW w:w="191"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Excess of</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 </w:t>
            </w:r>
          </w:p>
        </w:tc>
        <w:tc>
          <w:tcPr>
            <w:tcW w:w="191" w:type="dxa"/>
            <w:tcBorders/>
            <w:vAlign w:val="center"/>
          </w:tcPr>
          <w:p>
            <w:pPr>
              <w:pStyle w:val="TableContents"/>
              <w:bidi w:val="0"/>
              <w:spacing w:before="0" w:after="0"/>
              <w:ind w:left="0" w:right="0" w:hanging="0"/>
              <w:jc w:val="center"/>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April 1, 2026</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Reissuance of common stock (0.2 million shares)</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2026</w:t>
            </w:r>
          </w:p>
        </w:tc>
        <w:tc>
          <w:tcPr>
            <w:tcW w:w="346" w:type="dxa"/>
            <w:tcBorders/>
            <w:vAlign w:val="center"/>
          </w:tcPr>
          <w:p>
            <w:pPr>
              <w:pStyle w:val="TableContents"/>
              <w:bidi w:val="0"/>
              <w:spacing w:before="0" w:after="0"/>
              <w:ind w:left="0" w:right="0" w:hanging="0"/>
              <w:jc w:val="left"/>
              <w:rPr/>
            </w:pPr>
            <w:r>
              <w:rPr/>
              <w:t>​</w:t>
            </w:r>
          </w:p>
        </w:tc>
        <w:tc>
          <w:tcPr>
            <w:tcW w:w="3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8"/>
        <w:gridCol w:w="346"/>
        <w:gridCol w:w="383"/>
        <w:gridCol w:w="383"/>
        <w:gridCol w:w="346"/>
        <w:gridCol w:w="226"/>
        <w:gridCol w:w="615"/>
        <w:gridCol w:w="346"/>
        <w:gridCol w:w="233"/>
        <w:gridCol w:w="533"/>
        <w:gridCol w:w="346"/>
        <w:gridCol w:w="250"/>
        <w:gridCol w:w="501"/>
        <w:gridCol w:w="346"/>
        <w:gridCol w:w="304"/>
        <w:gridCol w:w="912"/>
        <w:gridCol w:w="346"/>
        <w:gridCol w:w="300"/>
        <w:gridCol w:w="601"/>
        <w:gridCol w:w="346"/>
        <w:gridCol w:w="213"/>
        <w:gridCol w:w="578"/>
        <w:gridCol w:w="193"/>
      </w:tblGrid>
      <w:tr>
        <w:trPr/>
        <w:tc>
          <w:tcPr>
            <w:tcW w:w="1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989330" cy="175260"/>
                      <wp:effectExtent l="0" t="0" r="0" b="0"/>
                      <wp:wrapNone/>
                      <wp:docPr id="433" name="Frame432"/>
                      <a:graphic xmlns:a="http://schemas.openxmlformats.org/drawingml/2006/main">
                        <a:graphicData uri="http://schemas.microsoft.com/office/word/2010/wordprocessingShape">
                          <wps:wsp>
                            <wps:cNvSpPr txBox="1"/>
                            <wps:spPr>
                              <a:xfrm>
                                <a:off x="0" y="0"/>
                                <a:ext cx="989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4"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43205" cy="175260"/>
                      <wp:effectExtent l="0" t="0" r="0" b="0"/>
                      <wp:wrapNone/>
                      <wp:docPr id="435" name="Frame434"/>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43205" cy="175260"/>
                      <wp:effectExtent l="0" t="0" r="0" b="0"/>
                      <wp:wrapNone/>
                      <wp:docPr id="436" name="Frame435"/>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43510" cy="175260"/>
                      <wp:effectExtent l="0" t="0" r="0" b="0"/>
                      <wp:wrapNone/>
                      <wp:docPr id="438" name="Frame4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90525" cy="175260"/>
                      <wp:effectExtent l="0" t="0" r="0" b="0"/>
                      <wp:wrapNone/>
                      <wp:docPr id="439" name="Frame438"/>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47955" cy="175260"/>
                      <wp:effectExtent l="0" t="0" r="0" b="0"/>
                      <wp:wrapNone/>
                      <wp:docPr id="441" name="Frame44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338455" cy="175260"/>
                      <wp:effectExtent l="0" t="0" r="0" b="0"/>
                      <wp:wrapNone/>
                      <wp:docPr id="442" name="Frame441"/>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58750" cy="175260"/>
                      <wp:effectExtent l="0" t="0" r="0" b="0"/>
                      <wp:wrapNone/>
                      <wp:docPr id="444" name="Frame44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18135" cy="175260"/>
                      <wp:effectExtent l="0" t="0" r="0" b="0"/>
                      <wp:wrapNone/>
                      <wp:docPr id="445" name="Frame444"/>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93040" cy="175260"/>
                      <wp:effectExtent l="0" t="0" r="0" b="0"/>
                      <wp:wrapNone/>
                      <wp:docPr id="447" name="Frame446"/>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79120" cy="175260"/>
                      <wp:effectExtent l="0" t="0" r="0" b="0"/>
                      <wp:wrapNone/>
                      <wp:docPr id="448" name="Frame447"/>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90500" cy="175260"/>
                      <wp:effectExtent l="0" t="0" r="0" b="0"/>
                      <wp:wrapNone/>
                      <wp:docPr id="450" name="Frame44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81635" cy="175260"/>
                      <wp:effectExtent l="0" t="0" r="0" b="0"/>
                      <wp:wrapNone/>
                      <wp:docPr id="451" name="Frame45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5255" cy="175260"/>
                      <wp:effectExtent l="0" t="0" r="0" b="0"/>
                      <wp:wrapNone/>
                      <wp:docPr id="453" name="Frame45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67030" cy="175260"/>
                      <wp:effectExtent l="0" t="0" r="0" b="0"/>
                      <wp:wrapNone/>
                      <wp:docPr id="454" name="Frame453"/>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22555" cy="175260"/>
                      <wp:effectExtent l="0" t="0" r="0" b="0"/>
                      <wp:wrapNone/>
                      <wp:docPr id="455" name="Frame454"/>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2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Owners’ Equity of the Company</w:t>
            </w:r>
          </w:p>
        </w:tc>
        <w:tc>
          <w:tcPr>
            <w:tcW w:w="346" w:type="dxa"/>
            <w:tcBorders/>
            <w:vAlign w:val="center"/>
          </w:tcPr>
          <w:p>
            <w:pPr>
              <w:pStyle w:val="TableContents"/>
              <w:bidi w:val="0"/>
              <w:spacing w:before="0" w:after="0"/>
              <w:ind w:left="0" w:right="0" w:hanging="0"/>
              <w:jc w:val="center"/>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center"/>
              <w:rPr/>
            </w:pPr>
            <w:r>
              <w:rPr/>
              <w:t>​</w: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  ​ ​ ​</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1" w:type="dxa"/>
            <w:gridSpan w:val="2"/>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center"/>
              <w:rPr/>
            </w:pPr>
            <w:r>
              <w:rPr/>
              <w:t>​</w: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 in</w:t>
            </w:r>
          </w:p>
        </w:tc>
        <w:tc>
          <w:tcPr>
            <w:tcW w:w="34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center"/>
              <w:rPr/>
            </w:pPr>
            <w:r>
              <w:rPr/>
              <w:t>​</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Share</w:t>
            </w:r>
          </w:p>
        </w:tc>
        <w:tc>
          <w:tcPr>
            <w:tcW w:w="193" w:type="dxa"/>
            <w:tcBorders/>
            <w:vAlign w:val="center"/>
          </w:tcPr>
          <w:p>
            <w:pPr>
              <w:pStyle w:val="TableContents"/>
              <w:bidi w:val="0"/>
              <w:spacing w:before="0" w:after="0"/>
              <w:ind w:left="0" w:right="0" w:hanging="0"/>
              <w:jc w:val="center"/>
              <w:rPr/>
            </w:pPr>
            <w:r>
              <w:rPr/>
              <w:t>​</w: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Excess of</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46" w:type="dxa"/>
            <w:tcBorders/>
            <w:vAlign w:val="center"/>
          </w:tcPr>
          <w:p>
            <w:pPr>
              <w:pStyle w:val="TableContents"/>
              <w:bidi w:val="0"/>
              <w:spacing w:before="0" w:after="0"/>
              <w:ind w:left="0" w:right="0" w:hanging="0"/>
              <w:jc w:val="center"/>
              <w:rPr/>
            </w:pPr>
            <w:r>
              <w:rPr/>
              <w:t>​</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 </w:t>
            </w:r>
          </w:p>
        </w:tc>
        <w:tc>
          <w:tcPr>
            <w:tcW w:w="193" w:type="dxa"/>
            <w:tcBorders/>
            <w:vAlign w:val="center"/>
          </w:tcPr>
          <w:p>
            <w:pPr>
              <w:pStyle w:val="TableContents"/>
              <w:bidi w:val="0"/>
              <w:spacing w:before="0" w:after="0"/>
              <w:ind w:left="0" w:right="0" w:hanging="0"/>
              <w:jc w:val="center"/>
              <w:rPr/>
            </w:pPr>
            <w:r>
              <w:rPr/>
              <w:t>​</w: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0"/>
              <w:ind w:left="0" w:right="0" w:hanging="0"/>
              <w:jc w:val="center"/>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46" w:type="dxa"/>
            <w:tcBorders/>
            <w:vAlign w:val="center"/>
          </w:tcPr>
          <w:p>
            <w:pPr>
              <w:pStyle w:val="TableContents"/>
              <w:bidi w:val="0"/>
              <w:spacing w:before="0" w:after="0"/>
              <w:ind w:left="0" w:right="0" w:hanging="0"/>
              <w:jc w:val="center"/>
              <w:rPr/>
            </w:pPr>
            <w:r>
              <w:rPr/>
              <w:t>​</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93" w:type="dxa"/>
            <w:tcBorders/>
            <w:vAlign w:val="center"/>
          </w:tcPr>
          <w:p>
            <w:pPr>
              <w:pStyle w:val="TableContents"/>
              <w:bidi w:val="0"/>
              <w:spacing w:before="0" w:after="0"/>
              <w:ind w:left="0" w:right="0" w:hanging="0"/>
              <w:jc w:val="left"/>
              <w:rPr/>
            </w:pPr>
            <w:r>
              <w:rPr/>
              <w:t> </w:t>
            </w:r>
          </w:p>
        </w:tc>
      </w:tr>
      <w:tr>
        <w:trPr/>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April 1, 2025</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Reissuance of common stock (0.2 million shares)</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repurchased (0.9 million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(0.1 million shares)</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2025</w:t>
            </w:r>
          </w:p>
        </w:tc>
        <w:tc>
          <w:tcPr>
            <w:tcW w:w="346" w:type="dxa"/>
            <w:tcBorders/>
            <w:vAlign w:val="center"/>
          </w:tcPr>
          <w:p>
            <w:pPr>
              <w:pStyle w:val="TableContents"/>
              <w:bidi w:val="0"/>
              <w:spacing w:before="0" w:after="0"/>
              <w:ind w:left="0" w:right="0" w:hanging="0"/>
              <w:jc w:val="left"/>
              <w:rPr/>
            </w:pPr>
            <w:r>
              <w:rPr/>
              <w:t>​</w:t>
            </w:r>
          </w:p>
        </w:tc>
        <w:tc>
          <w:tcPr>
            <w:tcW w:w="38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w:t>
            </w:r>
          </w:p>
        </w:tc>
        <w:tc>
          <w:tcPr>
            <w:tcW w:w="346" w:type="dxa"/>
            <w:tcBorders/>
            <w:vAlign w:val="center"/>
          </w:tcPr>
          <w:p>
            <w:pPr>
              <w:pStyle w:val="TableContents"/>
              <w:bidi w:val="0"/>
              <w:spacing w:before="0" w:after="0"/>
              <w:ind w:left="0" w:right="0" w:hanging="0"/>
              <w:jc w:val="left"/>
              <w:rPr/>
            </w:pPr>
            <w:r>
              <w:rPr/>
              <w:t>​</w:t>
            </w:r>
          </w:p>
        </w:tc>
        <w:tc>
          <w:tcPr>
            <w:tcW w:w="23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46" w:type="dxa"/>
            <w:tcBorders/>
            <w:vAlign w:val="center"/>
          </w:tcPr>
          <w:p>
            <w:pPr>
              <w:pStyle w:val="TableContents"/>
              <w:bidi w:val="0"/>
              <w:spacing w:before="0" w:after="0"/>
              <w:ind w:left="0" w:right="0" w:hanging="0"/>
              <w:jc w:val="left"/>
              <w:rPr/>
            </w:pPr>
            <w:r>
              <w:rPr/>
              <w:t>​</w:t>
            </w:r>
          </w:p>
        </w:tc>
        <w:tc>
          <w:tcPr>
            <w:tcW w:w="25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46" w:type="dxa"/>
            <w:tcBorders/>
            <w:vAlign w:val="center"/>
          </w:tcPr>
          <w:p>
            <w:pPr>
              <w:pStyle w:val="TableContents"/>
              <w:bidi w:val="0"/>
              <w:spacing w:before="0" w:after="0"/>
              <w:ind w:left="0" w:right="0" w:hanging="0"/>
              <w:jc w:val="left"/>
              <w:rPr/>
            </w:pPr>
            <w:r>
              <w:rPr/>
              <w:t>​</w:t>
            </w:r>
          </w:p>
        </w:tc>
        <w:tc>
          <w:tcPr>
            <w:tcW w:w="30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w:t>
            </w:r>
          </w:p>
        </w:tc>
        <w:tc>
          <w:tcPr>
            <w:tcW w:w="346" w:type="dxa"/>
            <w:tcBorders/>
            <w:vAlign w:val="center"/>
          </w:tcPr>
          <w:p>
            <w:pPr>
              <w:pStyle w:val="TableContents"/>
              <w:bidi w:val="0"/>
              <w:spacing w:before="0" w:after="0"/>
              <w:ind w:left="0" w:right="0" w:hanging="0"/>
              <w:jc w:val="left"/>
              <w:rPr/>
            </w:pPr>
            <w:r>
              <w:rPr/>
              <w:t>​</w:t>
            </w:r>
          </w:p>
        </w:tc>
        <w:tc>
          <w:tcPr>
            <w:tcW w:w="30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vAlign w:val="center"/>
          </w:tcPr>
          <w:p>
            <w:pPr>
              <w:pStyle w:val="TableContents"/>
              <w:bidi w:val="0"/>
              <w:spacing w:before="0" w:after="0"/>
              <w:ind w:left="0" w:right="0" w:hanging="0"/>
              <w:jc w:val="left"/>
              <w:rPr/>
            </w:pPr>
            <w:r>
              <w:rPr/>
              <w:t>​</w:t>
            </w:r>
          </w:p>
        </w:tc>
        <w:tc>
          <w:tcPr>
            <w:tcW w:w="21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firstLine="360"/>
        <w:jc w:val="left"/>
        <w:rPr>
          <w:rFonts w:ascii="Times New Roman;Times;serif" w:hAnsi="Times New Roman;Times;serif"/>
          <w:sz w:val="20"/>
        </w:rPr>
      </w:pPr>
      <w:bookmarkStart w:id="1381" w:name="Tc_szMl7K0AlkuR5MDJtDD-0A_7_0"/>
      <w:bookmarkStart w:id="1382" w:name="Tc_u3H6uMWsM0ufwXSTSSwVaw_5_0"/>
      <w:bookmarkStart w:id="1383" w:name="Tc_izxMCo8PsEWHox6cQD-MUA_3_6"/>
      <w:bookmarkStart w:id="1384" w:name="Tc_qTplcPuINUiJUBTkIZO1fg_3_4"/>
      <w:bookmarkStart w:id="1385" w:name="Tc_tWgQiwNrS0Wor5aeCiAAzg_3_2"/>
      <w:bookmarkStart w:id="1386" w:name="Tc_MyE4LAVgykaN7TRdDjGvfQ_2_6"/>
      <w:bookmarkStart w:id="1387" w:name="Tc_BTwFYkIq1kml_dYVMBZhsw_2_4"/>
      <w:bookmarkStart w:id="1388" w:name="Tc_SHEjBMZ0VUSrXY_QG3NKhg_2_2"/>
      <w:bookmarkStart w:id="1389" w:name="Tc_5abwUzopEUSo63NReeQikQ_1_2"/>
      <w:bookmarkStart w:id="1390" w:name="Tc_0O4wVeZwHk2kX30a-g-7ew_14_20"/>
      <w:bookmarkStart w:id="1391" w:name="Tc_AgsigD-26kCvs57uHT7-Zg_14_17"/>
      <w:bookmarkStart w:id="1392" w:name="Tc_zDlwR9sySUaKvbuDd-XEcw_14_14"/>
      <w:bookmarkStart w:id="1393" w:name="Tc_Y4l6B6sTzkato5KJFa52uw_14_11"/>
      <w:bookmarkStart w:id="1394" w:name="Tc_iV4mYPqzyE-F-fjidc1LzQ_14_8"/>
      <w:bookmarkStart w:id="1395" w:name="Tc_tA89EPi_qk2_XPtAwkFTog_14_5"/>
      <w:bookmarkStart w:id="1396" w:name="Tc_-megVLiv5kisSMf_oSF3CA_14_2"/>
      <w:bookmarkStart w:id="1397" w:name="Tc_AahatMixWUOo8y9m1DV-Ow_14_0"/>
      <w:bookmarkStart w:id="1398" w:name="Tc_xog1h8B3uECkel9npC58mw_13_0"/>
      <w:bookmarkStart w:id="1399" w:name="Tc_DubZyEYTT0OMfN0MeYhfTw_12_0"/>
      <w:bookmarkStart w:id="1400" w:name="Tc_m7uk3WYt50WtQ1eulqaZMw_11_0"/>
      <w:bookmarkStart w:id="1401" w:name="Tc__CKdTik1qEW2YRdKuYoqxg_10_0"/>
      <w:bookmarkStart w:id="1402" w:name="Tc_aiDDi0yXrkyNcXVOXp0Wug_9_0"/>
      <w:bookmarkStart w:id="1403" w:name="Tc_0YgmBn9F8kGc2TAVvj4YRQ_8_0"/>
      <w:bookmarkStart w:id="1404" w:name="Tc_rsg-hBL6h02UVmaKlMTbVw_7_0"/>
      <w:bookmarkStart w:id="1405" w:name="Tc_Ks_jhy9rA0WGbpiuO0irgw_6_20"/>
      <w:bookmarkStart w:id="1406" w:name="Tc_8xbmf0ilNUeTU-V2O9L1wg_6_17"/>
      <w:bookmarkStart w:id="1407" w:name="Tc_5bEp3Tmjx0q8tgh2biZcyg_6_14"/>
      <w:bookmarkStart w:id="1408" w:name="Tc_J-u1Jeo-vkuo2f4R--lYhg_6_11"/>
      <w:bookmarkStart w:id="1409" w:name="Tc_K0kM07bi_0qzIvlYICk2Mg_6_8"/>
      <w:bookmarkStart w:id="1410" w:name="Tc_a8_FMcePT0qH0RyR6W1-GQ_6_5"/>
      <w:bookmarkStart w:id="1411" w:name="Tc_tLiwMX-s5kWyNndAK0ALZg_6_2"/>
      <w:bookmarkStart w:id="1412" w:name="Tc_l27vm-rwt06eqzUCvkMhyA_6_0"/>
      <w:bookmarkStart w:id="1413" w:name="Tc_MX8tBalnQEew6_njK23T_g_5_20"/>
      <w:bookmarkStart w:id="1414" w:name="Tc_sUIDLteFf0WqoOT5hK81ew_5_17"/>
      <w:bookmarkStart w:id="1415" w:name="Tc_cbFRp11yp0-E4vncdJGE9A_5_14"/>
      <w:bookmarkStart w:id="1416" w:name="Tc_ke3LrT_UdUiJf-goRjgrtg_5_11"/>
      <w:bookmarkStart w:id="1417" w:name="Tc_QY9h_SIeWEuLnY3eomGF-w_5_8"/>
      <w:bookmarkStart w:id="1418" w:name="Tc_dD-Il1XH70iDPANVWVXPQg_5_5"/>
      <w:bookmarkStart w:id="1419" w:name="Tc_PcjcCOBQLkyGYiMGRI0aEg_5_2"/>
      <w:bookmarkStart w:id="1420" w:name="Tc_K66rR8NqtUeRDoazRb-zAw_4_20"/>
      <w:bookmarkStart w:id="1421" w:name="Tc_V7tiR3T9rkeuptvXwfokPg_4_17"/>
      <w:bookmarkStart w:id="1422" w:name="Tc_nBYnNMsqjkGiEp1i9qr7zw_4_14"/>
      <w:bookmarkStart w:id="1423" w:name="Tc_1MXLQMuLnkGggsEpOQ7wTQ_4_11"/>
      <w:bookmarkStart w:id="1424" w:name="Tc_pZoeGeuzZ0eOtSzqTpAzHg_4_8"/>
      <w:bookmarkStart w:id="1425" w:name="Tc_L1OpqI41tEinoY-MceM8YA_4_5"/>
      <w:bookmarkStart w:id="1426" w:name="Tc_Lfu7P9eN5UOBUACnUO8FaQ_4_2"/>
      <w:bookmarkStart w:id="1427" w:name="Tc_RzpOJ-DiykiFiOsIpx3snQ_3_20"/>
      <w:bookmarkStart w:id="1428" w:name="Tc_rVXBhWbrqkWCjtPfOZc53w_3_17"/>
      <w:bookmarkStart w:id="1429" w:name="Tc_mHL-bU2V8ESY252QUmi_Rg_3_14"/>
      <w:bookmarkStart w:id="1430" w:name="Tc_VSAK1S1bsU-Fb4Oe2ypPMA_3_5"/>
      <w:bookmarkStart w:id="1431" w:name="Tc_jS7CzlcNPUeLWnowcZAikA_2_14"/>
      <w:bookmarkStart w:id="1432" w:name="Tc_0a0u-MvcYkWFuNGmLBrelw_1_2"/>
      <w:bookmarkStart w:id="1433" w:name="_1cec6b28_5969_48ea_833f_a5d5f2e97dd6"/>
      <w:bookmarkStart w:id="1434" w:name="Tc_Z-sop2IqfUCqn8SHqmKOLA_14_20"/>
      <w:bookmarkStart w:id="1435" w:name="Tc_ZbK2BCTbn0u6OYWJBfpZcg_14_17"/>
      <w:bookmarkStart w:id="1436" w:name="Tc_hN2P213t-kCUg6zUHl60Mg_14_14"/>
      <w:bookmarkStart w:id="1437" w:name="Tc_NntBcPTwrUuxFPNFOvUBag_14_11"/>
      <w:bookmarkStart w:id="1438" w:name="Tc_jlbHdnB_j0W_co-6SzJRoQ_14_8"/>
      <w:bookmarkStart w:id="1439" w:name="Tc_35wy6zVoR0yLpkrrbLAO-w_14_5"/>
      <w:bookmarkStart w:id="1440" w:name="Tc_J1qMMMQ-kkOTI3qXCLsbJg_14_2"/>
      <w:bookmarkStart w:id="1441" w:name="Tc_zCJm7FEyfUWxICkfG2egtA_14_0"/>
      <w:bookmarkStart w:id="1442" w:name="Tc_5DURw_EXVk-IPYjectKqYg_13_0"/>
      <w:bookmarkStart w:id="1443" w:name="Tc_QS9uxHGVQUyWXz-zzABrjQ_12_0"/>
      <w:bookmarkStart w:id="1444" w:name="Tc_NUSgy1W6A0agRzh8O7pcpA_11_0"/>
      <w:bookmarkStart w:id="1445" w:name="Tc_l7eZRBNUJ0GuECCHxERZjQ_10_0"/>
      <w:bookmarkStart w:id="1446" w:name="Tc_Yw7gwJlce02rwju49WvDhA_9_0"/>
      <w:bookmarkStart w:id="1447" w:name="Tc_f4JfnebUdUe6L9b3PPbQrA_8_0"/>
      <w:bookmarkStart w:id="1448" w:name="Tc_PrCUc4BWuEqcPBfqPhcxwg_7_0"/>
      <w:bookmarkStart w:id="1449" w:name="Tc_Jc9r23kNj0awcf7DmlO23A_6_20"/>
      <w:bookmarkStart w:id="1450" w:name="Tc_or0-cW9VNUuU6awZLJLlew_6_17"/>
      <w:bookmarkStart w:id="1451" w:name="Tc_wsuHvuFtmk6e8NJzxvD-qA_6_14"/>
      <w:bookmarkStart w:id="1452" w:name="Tc_nCnYs-r_ME2kWNT5_z3vRA_6_11"/>
      <w:bookmarkStart w:id="1453" w:name="Tc_Vokocyzgf0uotUlkKrxxuA_6_8"/>
      <w:bookmarkStart w:id="1454" w:name="Tc_nX5rFaMPHUWj4bvn2lIx4Q_6_5"/>
      <w:bookmarkStart w:id="1455" w:name="Tc_1IvAZ6XEuUKh9FS0SKipwQ_6_2"/>
      <w:bookmarkStart w:id="1456" w:name="Tc_IYnFYaJhv0m6B29HPKDU8g_6_0"/>
      <w:bookmarkStart w:id="1457" w:name="Tc_muA6KDXTfEO8eXO_9uNkAw_5_20"/>
      <w:bookmarkStart w:id="1458" w:name="Tc_y0E1GIgUIkqicvErR7z_9Q_5_17"/>
      <w:bookmarkStart w:id="1459" w:name="Tc_fYd8GFwrjUieaA1g3jSPTQ_5_14"/>
      <w:bookmarkStart w:id="1460" w:name="Tc_lfi-I4RhCki4-AjKWimeYg_5_11"/>
      <w:bookmarkStart w:id="1461" w:name="Tc_9bFlKFfdWkmCRFvf7eWkSw_5_8"/>
      <w:bookmarkStart w:id="1462" w:name="Tc_-heOdb-WwUOLqBUeS4lIeA_5_5"/>
      <w:bookmarkStart w:id="1463" w:name="Tc_RxUgExbIS0mG_dadOjO55Q_5_2"/>
      <w:bookmarkStart w:id="1464" w:name="Tc_EcMrpDkUYUCruHRoxwxVjw_4_20"/>
      <w:bookmarkStart w:id="1465" w:name="Tc_qivZy7k9-ECW_PcKytE-Ug_4_17"/>
      <w:bookmarkStart w:id="1466" w:name="Tc_cDlQqZRBykOJROedZfHj8A_4_14"/>
      <w:bookmarkStart w:id="1467" w:name="Tc_9du2p8pri02DhRM_a3SqcA_4_11"/>
      <w:bookmarkStart w:id="1468" w:name="Tc_Xd2O7GxAUECeeM5y3a8ptg_4_8"/>
      <w:bookmarkStart w:id="1469" w:name="Tc_Td8XIqj1R0aLa8NB4Peg6Q_4_5"/>
      <w:bookmarkStart w:id="1470" w:name="Tc_Gm7e_oaZik26y2sH40NdNg_4_2"/>
      <w:bookmarkStart w:id="1471" w:name="Tc_BlV86UfhCkSldMydZm6rjw_3_20"/>
      <w:bookmarkStart w:id="1472" w:name="Tc_DTKvEdBIkE6DA0KfCUinSg_3_17"/>
      <w:bookmarkStart w:id="1473" w:name="Tc_yXgppQh5PkGgYP5leY-QYQ_3_14"/>
      <w:bookmarkStart w:id="1474" w:name="Tc_mOrev2w_OUaks7LplwrtFQ_3_11"/>
      <w:bookmarkStart w:id="1475" w:name="Tc_TbzSnmP63ka9osRfFYCBpQ_3_5"/>
      <w:bookmarkStart w:id="1476" w:name="Tc_hiCe9cMR506CPwP-2REZYg_2_14"/>
      <w:bookmarkStart w:id="1477" w:name="Tc_1_CgGcNT20Go53Bl5nlsZA_2_11"/>
      <w:bookmarkStart w:id="1478" w:name="Tc_O7TybFR07kmHoK9Xkm1afg_1_2"/>
      <w:bookmarkStart w:id="1479" w:name="_261022c6_2a75_4be2_8dcd_92d7fd733a18"/>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r>
        <w:rPr>
          <w:rFonts w:ascii="Times New Roman;Times;serif" w:hAnsi="Times New Roman;Times;serif"/>
          <w:sz w:val="20"/>
        </w:rPr>
        <w:t>The activity in share owners’ equity for the six months ended June 30, 2026 and 2025 is as follows:</w:t>
      </w:r>
    </w:p>
    <w:p>
      <w:pPr>
        <w:pStyle w:val="TextBody"/>
        <w:bidi w:val="0"/>
        <w:spacing w:before="0" w:after="0"/>
        <w:ind w:left="0" w:right="0" w:hanging="0"/>
        <w:jc w:val="left"/>
        <w:rPr/>
      </w:pPr>
      <w:r>
        <w:rPr/>
        <w:t>​</w:t>
      </w:r>
    </w:p>
    <w:tbl>
      <w:tblPr>
        <w:tblW w:w="10467" w:type="dxa"/>
        <w:jc w:val="left"/>
        <w:tblInd w:w="0" w:type="dxa"/>
        <w:tblLayout w:type="fixed"/>
        <w:tblCellMar>
          <w:top w:w="0" w:type="dxa"/>
          <w:left w:w="0" w:type="dxa"/>
          <w:bottom w:w="0" w:type="dxa"/>
          <w:right w:w="0" w:type="dxa"/>
        </w:tblCellMar>
      </w:tblPr>
      <w:tblGrid>
        <w:gridCol w:w="1411"/>
        <w:gridCol w:w="346"/>
        <w:gridCol w:w="383"/>
        <w:gridCol w:w="383"/>
        <w:gridCol w:w="346"/>
        <w:gridCol w:w="226"/>
        <w:gridCol w:w="615"/>
        <w:gridCol w:w="346"/>
        <w:gridCol w:w="233"/>
        <w:gridCol w:w="533"/>
        <w:gridCol w:w="346"/>
        <w:gridCol w:w="278"/>
        <w:gridCol w:w="833"/>
        <w:gridCol w:w="346"/>
        <w:gridCol w:w="304"/>
        <w:gridCol w:w="912"/>
        <w:gridCol w:w="346"/>
        <w:gridCol w:w="300"/>
        <w:gridCol w:w="601"/>
        <w:gridCol w:w="346"/>
        <w:gridCol w:w="211"/>
        <w:gridCol w:w="631"/>
        <w:gridCol w:w="19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895985" cy="175260"/>
                      <wp:effectExtent l="0" t="0" r="0" b="0"/>
                      <wp:wrapNone/>
                      <wp:docPr id="456" name="Frame45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43205" cy="175260"/>
                      <wp:effectExtent l="0" t="0" r="0" b="0"/>
                      <wp:wrapNone/>
                      <wp:docPr id="458" name="Frame457"/>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43205" cy="175260"/>
                      <wp:effectExtent l="0" t="0" r="0" b="0"/>
                      <wp:wrapNone/>
                      <wp:docPr id="459" name="Frame458"/>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43510" cy="175260"/>
                      <wp:effectExtent l="0" t="0" r="0" b="0"/>
                      <wp:wrapNone/>
                      <wp:docPr id="461" name="Frame4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390525" cy="175260"/>
                      <wp:effectExtent l="0" t="0" r="0" b="0"/>
                      <wp:wrapNone/>
                      <wp:docPr id="462" name="Frame461"/>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47955" cy="175260"/>
                      <wp:effectExtent l="0" t="0" r="0" b="0"/>
                      <wp:wrapNone/>
                      <wp:docPr id="464" name="Frame46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38455" cy="175260"/>
                      <wp:effectExtent l="0" t="0" r="0" b="0"/>
                      <wp:wrapNone/>
                      <wp:docPr id="465" name="Frame464"/>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76530" cy="175260"/>
                      <wp:effectExtent l="0" t="0" r="0" b="0"/>
                      <wp:wrapNone/>
                      <wp:docPr id="467" name="Frame466"/>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28955" cy="175260"/>
                      <wp:effectExtent l="0" t="0" r="0" b="0"/>
                      <wp:wrapNone/>
                      <wp:docPr id="468" name="Frame46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93040" cy="175260"/>
                      <wp:effectExtent l="0" t="0" r="0" b="0"/>
                      <wp:wrapNone/>
                      <wp:docPr id="470" name="Frame469"/>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79120" cy="175260"/>
                      <wp:effectExtent l="0" t="0" r="0" b="0"/>
                      <wp:wrapNone/>
                      <wp:docPr id="471" name="Frame470"/>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2"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90500" cy="175260"/>
                      <wp:effectExtent l="0" t="0" r="0" b="0"/>
                      <wp:wrapNone/>
                      <wp:docPr id="473" name="Frame472"/>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81635" cy="175260"/>
                      <wp:effectExtent l="0" t="0" r="0" b="0"/>
                      <wp:wrapNone/>
                      <wp:docPr id="474" name="Frame47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75"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3985" cy="175260"/>
                      <wp:effectExtent l="0" t="0" r="0" b="0"/>
                      <wp:wrapNone/>
                      <wp:docPr id="476" name="Frame4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00685" cy="175260"/>
                      <wp:effectExtent l="0" t="0" r="0" b="0"/>
                      <wp:wrapNone/>
                      <wp:docPr id="477" name="Frame47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21285" cy="175260"/>
                      <wp:effectExtent l="0" t="0" r="0" b="0"/>
                      <wp:wrapNone/>
                      <wp:docPr id="478" name="Frame47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08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Owners’ Equity of the Company</w:t>
            </w:r>
          </w:p>
        </w:tc>
        <w:tc>
          <w:tcPr>
            <w:tcW w:w="346" w:type="dxa"/>
            <w:tcBorders/>
            <w:vAlign w:val="center"/>
          </w:tcPr>
          <w:p>
            <w:pPr>
              <w:pStyle w:val="TableContents"/>
              <w:bidi w:val="0"/>
              <w:spacing w:before="0" w:after="0"/>
              <w:ind w:left="0" w:right="0" w:hanging="0"/>
              <w:jc w:val="center"/>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  ​ ​ ​</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 in</w:t>
            </w:r>
          </w:p>
        </w:tc>
        <w:tc>
          <w:tcPr>
            <w:tcW w:w="34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Share</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Excess of</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 </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91" w:type="dxa"/>
            <w:tcBorders/>
            <w:vAlign w:val="center"/>
          </w:tcPr>
          <w:p>
            <w:pPr>
              <w:pStyle w:val="TableContents"/>
              <w:bidi w:val="0"/>
              <w:spacing w:before="0" w:after="0"/>
              <w:ind w:left="0" w:right="0" w:hanging="0"/>
              <w:jc w:val="left"/>
              <w:rPr/>
            </w:pPr>
            <w:r>
              <w:rPr/>
              <w:t> </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Reissuance of common stock (0.4 million shares)</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repurchased (0.6 million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(0.9 million shares)</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91"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8"/>
        <w:gridCol w:w="346"/>
        <w:gridCol w:w="383"/>
        <w:gridCol w:w="383"/>
        <w:gridCol w:w="346"/>
        <w:gridCol w:w="226"/>
        <w:gridCol w:w="615"/>
        <w:gridCol w:w="346"/>
        <w:gridCol w:w="233"/>
        <w:gridCol w:w="533"/>
        <w:gridCol w:w="346"/>
        <w:gridCol w:w="250"/>
        <w:gridCol w:w="501"/>
        <w:gridCol w:w="346"/>
        <w:gridCol w:w="304"/>
        <w:gridCol w:w="912"/>
        <w:gridCol w:w="346"/>
        <w:gridCol w:w="300"/>
        <w:gridCol w:w="601"/>
        <w:gridCol w:w="346"/>
        <w:gridCol w:w="213"/>
        <w:gridCol w:w="578"/>
        <w:gridCol w:w="193"/>
      </w:tblGrid>
      <w:tr>
        <w:trPr/>
        <w:tc>
          <w:tcPr>
            <w:tcW w:w="1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989330" cy="175260"/>
                      <wp:effectExtent l="0" t="0" r="0" b="0"/>
                      <wp:wrapNone/>
                      <wp:docPr id="479" name="Frame478"/>
                      <a:graphic xmlns:a="http://schemas.openxmlformats.org/drawingml/2006/main">
                        <a:graphicData uri="http://schemas.microsoft.com/office/word/2010/wordprocessingShape">
                          <wps:wsp>
                            <wps:cNvSpPr txBox="1"/>
                            <wps:spPr>
                              <a:xfrm>
                                <a:off x="0" y="0"/>
                                <a:ext cx="989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43205" cy="175260"/>
                      <wp:effectExtent l="0" t="0" r="0" b="0"/>
                      <wp:wrapNone/>
                      <wp:docPr id="481" name="Frame480"/>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43205" cy="175260"/>
                      <wp:effectExtent l="0" t="0" r="0" b="0"/>
                      <wp:wrapNone/>
                      <wp:docPr id="482" name="Frame481"/>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43510" cy="175260"/>
                      <wp:effectExtent l="0" t="0" r="0" b="0"/>
                      <wp:wrapNone/>
                      <wp:docPr id="484" name="Frame4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390525" cy="175260"/>
                      <wp:effectExtent l="0" t="0" r="0" b="0"/>
                      <wp:wrapNone/>
                      <wp:docPr id="485" name="Frame484"/>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6" name="Frame4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47955" cy="175260"/>
                      <wp:effectExtent l="0" t="0" r="0" b="0"/>
                      <wp:wrapNone/>
                      <wp:docPr id="487" name="Frame48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338455" cy="175260"/>
                      <wp:effectExtent l="0" t="0" r="0" b="0"/>
                      <wp:wrapNone/>
                      <wp:docPr id="488" name="Frame487"/>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58750" cy="175260"/>
                      <wp:effectExtent l="0" t="0" r="0" b="0"/>
                      <wp:wrapNone/>
                      <wp:docPr id="490" name="Frame48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18135" cy="175260"/>
                      <wp:effectExtent l="0" t="0" r="0" b="0"/>
                      <wp:wrapNone/>
                      <wp:docPr id="491" name="Frame490"/>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93040" cy="175260"/>
                      <wp:effectExtent l="0" t="0" r="0" b="0"/>
                      <wp:wrapNone/>
                      <wp:docPr id="493" name="Frame492"/>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79120" cy="175260"/>
                      <wp:effectExtent l="0" t="0" r="0" b="0"/>
                      <wp:wrapNone/>
                      <wp:docPr id="494" name="Frame493"/>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5" name="Frame4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90500" cy="175260"/>
                      <wp:effectExtent l="0" t="0" r="0" b="0"/>
                      <wp:wrapNone/>
                      <wp:docPr id="496" name="Frame49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381635" cy="175260"/>
                      <wp:effectExtent l="0" t="0" r="0" b="0"/>
                      <wp:wrapNone/>
                      <wp:docPr id="497" name="Frame49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8"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5255" cy="175260"/>
                      <wp:effectExtent l="0" t="0" r="0" b="0"/>
                      <wp:wrapNone/>
                      <wp:docPr id="499" name="Frame49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367030" cy="175260"/>
                      <wp:effectExtent l="0" t="0" r="0" b="0"/>
                      <wp:wrapNone/>
                      <wp:docPr id="500" name="Frame49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22555" cy="175260"/>
                      <wp:effectExtent l="0" t="0" r="0" b="0"/>
                      <wp:wrapNone/>
                      <wp:docPr id="501" name="Frame500"/>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2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Owners’ Equity of the Company</w:t>
            </w:r>
          </w:p>
        </w:tc>
        <w:tc>
          <w:tcPr>
            <w:tcW w:w="346" w:type="dxa"/>
            <w:tcBorders/>
            <w:vAlign w:val="center"/>
          </w:tcPr>
          <w:p>
            <w:pPr>
              <w:pStyle w:val="TableContents"/>
              <w:bidi w:val="0"/>
              <w:spacing w:before="0" w:after="0"/>
              <w:ind w:left="0" w:right="0" w:hanging="0"/>
              <w:jc w:val="center"/>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  ​ ​ ​</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1" w:type="dxa"/>
            <w:gridSpan w:val="2"/>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 in</w:t>
            </w:r>
          </w:p>
        </w:tc>
        <w:tc>
          <w:tcPr>
            <w:tcW w:w="34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center"/>
              <w:rPr/>
            </w:pPr>
            <w:r>
              <w:rPr/>
              <w:t>​</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Share</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Excess of</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46" w:type="dxa"/>
            <w:tcBorders/>
            <w:vAlign w:val="center"/>
          </w:tcPr>
          <w:p>
            <w:pPr>
              <w:pStyle w:val="TableContents"/>
              <w:bidi w:val="0"/>
              <w:spacing w:before="0" w:after="0"/>
              <w:ind w:left="0" w:right="0" w:hanging="0"/>
              <w:jc w:val="center"/>
              <w:rPr/>
            </w:pPr>
            <w:r>
              <w:rPr/>
              <w:t>​</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 </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46" w:type="dxa"/>
            <w:tcBorders/>
            <w:vAlign w:val="center"/>
          </w:tcPr>
          <w:p>
            <w:pPr>
              <w:pStyle w:val="TableContents"/>
              <w:bidi w:val="0"/>
              <w:spacing w:before="0" w:after="0"/>
              <w:ind w:left="0" w:right="0" w:hanging="0"/>
              <w:jc w:val="center"/>
              <w:rPr/>
            </w:pPr>
            <w:r>
              <w:rPr/>
              <w:t>​</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93" w:type="dxa"/>
            <w:tcBorders/>
            <w:vAlign w:val="center"/>
          </w:tcPr>
          <w:p>
            <w:pPr>
              <w:pStyle w:val="TableContents"/>
              <w:bidi w:val="0"/>
              <w:spacing w:before="0" w:after="0"/>
              <w:ind w:left="0" w:right="0" w:hanging="0"/>
              <w:jc w:val="left"/>
              <w:rPr/>
            </w:pPr>
            <w:r>
              <w:rPr/>
              <w:t> </w:t>
            </w:r>
          </w:p>
        </w:tc>
      </w:tr>
      <w:tr>
        <w:trPr/>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Reissuance of common stock (0.4 million shares)</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Shares repurchased (0.6 million shares) </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(0.9 million shares)</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93" w:type="dxa"/>
            <w:tcBorders/>
            <w:vAlign w:val="center"/>
          </w:tcPr>
          <w:p>
            <w:pPr>
              <w:pStyle w:val="TableContents"/>
              <w:bidi w:val="0"/>
              <w:spacing w:before="0" w:after="0"/>
              <w:ind w:left="0" w:right="0" w:hanging="0"/>
              <w:jc w:val="left"/>
              <w:rPr/>
            </w:pPr>
            <w:r>
              <w:rPr/>
              <w:t>​</w:t>
            </w:r>
          </w:p>
        </w:tc>
      </w:tr>
      <w:tr>
        <w:trPr/>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1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Board of Directors has authorized a $100 million anti-dilutive share repurchase program, which is intended to offset stock-based compensation provided to the Company’s directors, officers, and employees. During the three months ended June 30, 2026, no shares of the Company’s common stock were repurchased. Approximately $30 million remained available for purchases under this program as of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250,000,000 shares of common stock authorized with a par value of $.01 per share. Shares outstanding are as follows:</w:t>
      </w:r>
    </w:p>
    <w:p>
      <w:pPr>
        <w:pStyle w:val="TextBody"/>
        <w:bidi w:val="0"/>
        <w:spacing w:before="0" w:after="0"/>
        <w:ind w:left="0" w:right="0" w:hanging="0"/>
        <w:jc w:val="left"/>
        <w:rPr/>
      </w:pPr>
      <w:r>
        <w:rPr/>
        <w:t>​</w:t>
      </w:r>
    </w:p>
    <w:tbl>
      <w:tblPr>
        <w:tblW w:w="8763" w:type="dxa"/>
        <w:jc w:val="left"/>
        <w:tblInd w:w="0" w:type="dxa"/>
        <w:tblLayout w:type="fixed"/>
        <w:tblCellMar>
          <w:top w:w="0" w:type="dxa"/>
          <w:left w:w="0" w:type="dxa"/>
          <w:bottom w:w="0" w:type="dxa"/>
          <w:right w:w="0" w:type="dxa"/>
        </w:tblCellMar>
      </w:tblPr>
      <w:tblGrid>
        <w:gridCol w:w="4831"/>
        <w:gridCol w:w="346"/>
        <w:gridCol w:w="781"/>
        <w:gridCol w:w="346"/>
        <w:gridCol w:w="1141"/>
        <w:gridCol w:w="346"/>
        <w:gridCol w:w="781"/>
        <w:gridCol w:w="191"/>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3067685" cy="175260"/>
                      <wp:effectExtent l="0" t="0" r="0" b="0"/>
                      <wp:wrapNone/>
                      <wp:docPr id="502" name="Frame501"/>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503"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95935" cy="175260"/>
                      <wp:effectExtent l="0" t="0" r="0" b="0"/>
                      <wp:wrapNone/>
                      <wp:docPr id="504" name="Frame5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5"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724535" cy="175260"/>
                      <wp:effectExtent l="0" t="0" r="0" b="0"/>
                      <wp:wrapNone/>
                      <wp:docPr id="506" name="Frame50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7"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95935" cy="175260"/>
                      <wp:effectExtent l="0" t="0" r="0" b="0"/>
                      <wp:wrapNone/>
                      <wp:docPr id="508" name="Frame5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21285" cy="175260"/>
                      <wp:effectExtent l="0" t="0" r="0" b="0"/>
                      <wp:wrapNone/>
                      <wp:docPr id="509" name="Frame50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Outstanding (in thousands)</w:t>
            </w:r>
          </w:p>
        </w:tc>
        <w:tc>
          <w:tcPr>
            <w:tcW w:w="191" w:type="dxa"/>
            <w:tcBorders/>
            <w:vAlign w:val="center"/>
          </w:tcPr>
          <w:p>
            <w:pPr>
              <w:pStyle w:val="TableContents"/>
              <w:bidi w:val="0"/>
              <w:spacing w:before="0" w:after="0"/>
              <w:ind w:left="0" w:right="0" w:hanging="0"/>
              <w:jc w:val="center"/>
              <w:rPr/>
            </w:pPr>
            <w:r>
              <w:rPr/>
              <w:t> </w:t>
            </w:r>
          </w:p>
        </w:tc>
      </w:tr>
      <w:tr>
        <w:trPr/>
        <w:tc>
          <w:tcPr>
            <w:tcW w:w="4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91" w:type="dxa"/>
            <w:tcBorders/>
            <w:vAlign w:val="center"/>
          </w:tcPr>
          <w:p>
            <w:pPr>
              <w:pStyle w:val="TableContents"/>
              <w:bidi w:val="0"/>
              <w:spacing w:before="0" w:after="0"/>
              <w:ind w:left="0" w:right="0" w:hanging="0"/>
              <w:jc w:val="center"/>
              <w:rPr/>
            </w:pPr>
            <w:r>
              <w:rPr/>
              <w:t> </w:t>
            </w:r>
          </w:p>
        </w:tc>
      </w:tr>
      <w:tr>
        <w:trPr/>
        <w:tc>
          <w:tcPr>
            <w:tcW w:w="4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4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(including treasury shares)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184,180</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183,531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184,985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30,521</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30,558</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30,912</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r>
        <w:rPr>
          <w:rFonts w:ascii="Times New Roman;Times;serif" w:hAnsi="Times New Roman;Times;serif"/>
          <w:sz w:val="2"/>
        </w:rPr>
        <w:br/>
        <w:t>​</w:t>
        <w:br/>
      </w:r>
      <w:r>
        <w:rPr>
          <w:rFonts w:ascii="Times New Roman;Times;serif" w:hAnsi="Times New Roman;Times;serif"/>
          <w:sz w:val="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rFonts w:ascii="Times New Roman;Times;serif" w:hAnsi="Times New Roman;Times;serif"/>
          <w:b/>
          <w:sz w:val="20"/>
        </w:rPr>
      </w:pPr>
      <w:bookmarkStart w:id="1480" w:name="Tc_bVX7gUdoJUqlysv7DBMdZQ_12_11"/>
      <w:bookmarkStart w:id="1481" w:name="Tc_-Kuy-F13XUGvx14wcd4tXA_12_8"/>
      <w:bookmarkStart w:id="1482" w:name="Tc_EKLeaDFD_0OLDrsax1gxTQ_12_5"/>
      <w:bookmarkStart w:id="1483" w:name="Tc_OLRteAKtuUGBLYwI1TKBTQ_12_2"/>
      <w:bookmarkStart w:id="1484" w:name="Tc_agfeLRYkJEC_wUdsI_81qA_12_0"/>
      <w:bookmarkStart w:id="1485" w:name="Tc_9CTewMIRWECiWDVpjQBWiQ_11_0"/>
      <w:bookmarkStart w:id="1486" w:name="Tc_4M4yu0nq5UCILvtmp3zSAg_10_0"/>
      <w:bookmarkStart w:id="1487" w:name="Tc_9UHfmFNRgkiTNmYiCqYZ2Q_9_0"/>
      <w:bookmarkStart w:id="1488" w:name="Tc_4c2l3HXQmEqDApKG8mAXog_8_10"/>
      <w:bookmarkStart w:id="1489" w:name="Tc_HX5YsIVCiUqAU_C9tUXqwA_8_7"/>
      <w:bookmarkStart w:id="1490" w:name="Tc_VbPYyrzCpkye65sAoH1l0A_8_0"/>
      <w:bookmarkStart w:id="1491" w:name="Tc_eesTmLJk80SJuKONiS3rfw_7_0"/>
      <w:bookmarkStart w:id="1492" w:name="Tc_t6XepQ8N5ket33Z25J2xfA_6_11"/>
      <w:bookmarkStart w:id="1493" w:name="Tc_CCYngAohoECf9YJgDC00oA_6_8"/>
      <w:bookmarkStart w:id="1494" w:name="Tc_lj-Z6zV-BU6GHe1RQC43Fw_6_5"/>
      <w:bookmarkStart w:id="1495" w:name="Tc_EqQU2tPW80awNNAbDrESOA_6_2"/>
      <w:bookmarkStart w:id="1496" w:name="Tc_3ctLWbnsX02VAJHU5Cm1Iw_6_0"/>
      <w:bookmarkStart w:id="1497" w:name="Tc_KnyHN6YvI0qE09rarkODLg_5_11"/>
      <w:bookmarkStart w:id="1498" w:name="Tc_e5ehA92AqkqsqykCc4u-8Q_5_8"/>
      <w:bookmarkStart w:id="1499" w:name="Tc_lChcQRHZQEu3Yl5GGDJigw_5_5"/>
      <w:bookmarkStart w:id="1500" w:name="Tc_O6ackhdQB0W3Jd150rkRDw_5_2"/>
      <w:bookmarkStart w:id="1501" w:name="Tc_xJ-9sJT3pUuUndfjtBYbow_4_11"/>
      <w:bookmarkStart w:id="1502" w:name="Tc_Rzm1ke0kSUCz4qY-FACpaA_4_8"/>
      <w:bookmarkStart w:id="1503" w:name="Tc_RLYAP6VnwESxJJGmXBR7pw_4_5"/>
      <w:bookmarkStart w:id="1504" w:name="Tc_2epFugrVqUCxsFQnhXDmwQ_4_2"/>
      <w:bookmarkStart w:id="1505" w:name="Tc_Ennxg7NLHk-nBn_TRqvg8g_3_11"/>
      <w:bookmarkStart w:id="1506" w:name="Tc_ipe9695xI0-5DdOexlfxJw_3_5"/>
      <w:bookmarkStart w:id="1507" w:name="Tc_sKkaMepyjEegC3fMG-rLOw_3_2"/>
      <w:bookmarkStart w:id="1508" w:name="Tc_J5Qs9y2msEGf0LZXBSyqPg_2_11"/>
      <w:bookmarkStart w:id="1509" w:name="Tc_tFzXqK9iVkqQXopX4swM5g_1_11"/>
      <w:bookmarkStart w:id="1510" w:name="_225b9529_ccf7_4f4d_a516_dcddd7f64260"/>
      <w:bookmarkStart w:id="1511" w:name="Tc_oh0CFFF500ymb-r-EaEtAg_12_11"/>
      <w:bookmarkStart w:id="1512" w:name="Tc_qWXE3Y4ufUqC_YBqY3ZkuQ_12_8"/>
      <w:bookmarkStart w:id="1513" w:name="Tc_vttNjOSEyU-CodmWL5bNXw_12_5"/>
      <w:bookmarkStart w:id="1514" w:name="Tc_60fsQwhMJk2hA2BIv7PU7w_12_2"/>
      <w:bookmarkStart w:id="1515" w:name="Tc_ouSLoTPFPEC6hJPqWK44fA_12_0"/>
      <w:bookmarkStart w:id="1516" w:name="Tc_rB4cMcPpiUiqNEZt6D-P8g_11_0"/>
      <w:bookmarkStart w:id="1517" w:name="Tc_FdiOV0vS7kWoNAKMgGSVKQ_10_0"/>
      <w:bookmarkStart w:id="1518" w:name="Tc_WPtY_xNywkahEirIeuHfVw_9_0"/>
      <w:bookmarkStart w:id="1519" w:name="Tc_fhTkiDCDXkW5ulYDltKpLg_8_10"/>
      <w:bookmarkStart w:id="1520" w:name="Tc_ygokSp3zaES5JqieoZXirA_8_7"/>
      <w:bookmarkStart w:id="1521" w:name="Tc_C1U_dmuyCE6_ADTjfwI_NQ_8_0"/>
      <w:bookmarkStart w:id="1522" w:name="Tc_DjE_D__KV0WBdh_jqc_UWQ_7_0"/>
      <w:bookmarkStart w:id="1523" w:name="Tc_eZ94D2qz-Em9voDPQpzbzQ_6_11"/>
      <w:bookmarkStart w:id="1524" w:name="Tc_ePX7ycB1Gkm3FdR7W-yISA_6_8"/>
      <w:bookmarkStart w:id="1525" w:name="Tc_MkqDAoAkQUS_lic29ofIpw_6_5"/>
      <w:bookmarkStart w:id="1526" w:name="Tc_oySW_k29JkaglUDIMqeviQ_6_2"/>
      <w:bookmarkStart w:id="1527" w:name="Tc_vriIswOvhUuHVqX4imRS-g_6_0"/>
      <w:bookmarkStart w:id="1528" w:name="Tc_bmSwnyZQVEuBBJUqnEoO_Q_5_11"/>
      <w:bookmarkStart w:id="1529" w:name="Tc_0yfFaybFQkmlG8HuvTADVA_5_8"/>
      <w:bookmarkStart w:id="1530" w:name="Tc_J-LYWfx9gE6iarEG_j8Qrw_5_5"/>
      <w:bookmarkStart w:id="1531" w:name="Tc_s80t8UgZ6U6yiu1gtVt3Ow_5_2"/>
      <w:bookmarkStart w:id="1532" w:name="Tc_yvZxCyey30-pkxCJ4CkhgQ_4_11"/>
      <w:bookmarkStart w:id="1533" w:name="Tc_9eOJ6DXCDEmU8qu_N8n6Xg_4_8"/>
      <w:bookmarkStart w:id="1534" w:name="Tc_X0eOFZXH_kKgNV9T7nbYBA_4_5"/>
      <w:bookmarkStart w:id="1535" w:name="Tc_3MJNj2e3VkqGh0M2TKKknA_4_2"/>
      <w:bookmarkStart w:id="1536" w:name="Tc_9AJdwKgU60mc-2Ckx10Gng_3_11"/>
      <w:bookmarkStart w:id="1537" w:name="Tc_d77mTCfGcUOF8J-uh3QBoQ_3_5"/>
      <w:bookmarkStart w:id="1538" w:name="Tc_I6rJIsxEVEuhdOVx63OF6w_3_2"/>
      <w:bookmarkStart w:id="1539" w:name="Tc_xOmcQlAEUESgBH9X5qJmCw_2_11"/>
      <w:bookmarkStart w:id="1540" w:name="Tc_-a0YlbWuI0a_2Nn8zGbs1w_1_11"/>
      <w:bookmarkStart w:id="1541" w:name="_9ee60dac_bc6c_4a1a_bf2f_851067b566a4"/>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r>
        <w:rPr>
          <w:rFonts w:ascii="Times New Roman;Times;serif" w:hAnsi="Times New Roman;Times;serif"/>
          <w:b/>
          <w:sz w:val="20"/>
        </w:rPr>
        <w:t>13. Accumulated Other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activity in accumulated other comprehensive loss for the three months ended June 30, 2026 and 2025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57"/>
        <w:gridCol w:w="346"/>
        <w:gridCol w:w="365"/>
        <w:gridCol w:w="836"/>
        <w:gridCol w:w="346"/>
        <w:gridCol w:w="517"/>
        <w:gridCol w:w="924"/>
        <w:gridCol w:w="374"/>
        <w:gridCol w:w="320"/>
        <w:gridCol w:w="731"/>
        <w:gridCol w:w="381"/>
        <w:gridCol w:w="304"/>
        <w:gridCol w:w="912"/>
        <w:gridCol w:w="192"/>
      </w:tblGrid>
      <w:tr>
        <w:trPr/>
        <w:tc>
          <w:tcPr>
            <w:tcW w:w="3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322195" cy="175260"/>
                      <wp:effectExtent l="0" t="0" r="0" b="0"/>
                      <wp:wrapNone/>
                      <wp:docPr id="510" name="Frame509"/>
                      <a:graphic xmlns:a="http://schemas.openxmlformats.org/drawingml/2006/main">
                        <a:graphicData uri="http://schemas.microsoft.com/office/word/2010/wordprocessingShape">
                          <wps:wsp>
                            <wps:cNvSpPr txBox="1"/>
                            <wps:spPr>
                              <a:xfrm>
                                <a:off x="0" y="0"/>
                                <a:ext cx="2322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31775" cy="175260"/>
                      <wp:effectExtent l="0" t="0" r="0" b="0"/>
                      <wp:wrapNone/>
                      <wp:docPr id="512" name="Frame511"/>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30860" cy="175260"/>
                      <wp:effectExtent l="0" t="0" r="0" b="0"/>
                      <wp:wrapNone/>
                      <wp:docPr id="513" name="Frame512"/>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4"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328295" cy="175260"/>
                      <wp:effectExtent l="0" t="0" r="0" b="0"/>
                      <wp:wrapNone/>
                      <wp:docPr id="515" name="Frame514"/>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86740" cy="175260"/>
                      <wp:effectExtent l="0" t="0" r="0" b="0"/>
                      <wp:wrapNone/>
                      <wp:docPr id="516" name="Frame515"/>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37490" cy="175260"/>
                      <wp:effectExtent l="0" t="0" r="0" b="0"/>
                      <wp:wrapNone/>
                      <wp:docPr id="517" name="Frame516"/>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3200" cy="175260"/>
                      <wp:effectExtent l="0" t="0" r="0" b="0"/>
                      <wp:wrapNone/>
                      <wp:docPr id="518" name="Frame51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464185" cy="175260"/>
                      <wp:effectExtent l="0" t="0" r="0" b="0"/>
                      <wp:wrapNone/>
                      <wp:docPr id="519" name="Frame518"/>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41935" cy="175260"/>
                      <wp:effectExtent l="0" t="0" r="0" b="0"/>
                      <wp:wrapNone/>
                      <wp:docPr id="520" name="Frame519"/>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93040" cy="175260"/>
                      <wp:effectExtent l="0" t="0" r="0" b="0"/>
                      <wp:wrapNone/>
                      <wp:docPr id="521" name="Frame52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579120" cy="175260"/>
                      <wp:effectExtent l="0" t="0" r="0" b="0"/>
                      <wp:wrapNone/>
                      <wp:docPr id="522" name="Frame521"/>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21920" cy="175260"/>
                      <wp:effectExtent l="0" t="0" r="0" b="0"/>
                      <wp:wrapNone/>
                      <wp:docPr id="523" name="Frame522"/>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pPr>
            <w:r>
              <w:rPr/>
              <w:t>​</w:t>
            </w:r>
          </w:p>
        </w:tc>
        <w:tc>
          <w:tcPr>
            <w:tcW w:w="374"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38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2" w:type="dxa"/>
            <w:tcBorders/>
            <w:vAlign w:val="center"/>
          </w:tcPr>
          <w:p>
            <w:pPr>
              <w:pStyle w:val="TableContents"/>
              <w:bidi w:val="0"/>
              <w:spacing w:before="0" w:after="0"/>
              <w:ind w:left="0" w:right="0" w:hanging="0"/>
              <w:jc w:val="center"/>
              <w:rPr/>
            </w:pPr>
            <w:r>
              <w:rPr/>
              <w:t> </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pPr>
            <w:r>
              <w:rPr/>
              <w:t>​</w:t>
            </w:r>
          </w:p>
        </w:tc>
        <w:tc>
          <w:tcPr>
            <w:tcW w:w="374"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731" w:type="dxa"/>
            <w:tcBorders/>
            <w:vAlign w:val="center"/>
          </w:tcPr>
          <w:p>
            <w:pPr>
              <w:pStyle w:val="TableContents"/>
              <w:bidi w:val="0"/>
              <w:spacing w:before="0" w:after="0"/>
              <w:ind w:left="0" w:right="0" w:hanging="0"/>
              <w:jc w:val="center"/>
              <w:rPr/>
            </w:pPr>
            <w:r>
              <w:rPr/>
              <w:t>​</w:t>
            </w:r>
          </w:p>
        </w:tc>
        <w:tc>
          <w:tcPr>
            <w:tcW w:w="38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2" w:type="dxa"/>
            <w:tcBorders/>
            <w:vAlign w:val="center"/>
          </w:tcPr>
          <w:p>
            <w:pPr>
              <w:pStyle w:val="TableContents"/>
              <w:bidi w:val="0"/>
              <w:spacing w:before="0" w:after="0"/>
              <w:ind w:left="0" w:right="0" w:hanging="0"/>
              <w:jc w:val="center"/>
              <w:rPr/>
            </w:pPr>
            <w:r>
              <w:rPr/>
              <w:t>​</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Effect of</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Certain</w:t>
            </w:r>
          </w:p>
        </w:tc>
        <w:tc>
          <w:tcPr>
            <w:tcW w:w="374"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731" w:type="dxa"/>
            <w:tcBorders/>
            <w:vAlign w:val="center"/>
          </w:tcPr>
          <w:p>
            <w:pPr>
              <w:pStyle w:val="TableContents"/>
              <w:bidi w:val="0"/>
              <w:spacing w:before="0" w:after="0"/>
              <w:ind w:left="0" w:right="0" w:hanging="0"/>
              <w:jc w:val="center"/>
              <w:rPr/>
            </w:pPr>
            <w:r>
              <w:rPr/>
              <w:t>​</w:t>
            </w:r>
          </w:p>
        </w:tc>
        <w:tc>
          <w:tcPr>
            <w:tcW w:w="38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2" w:type="dxa"/>
            <w:tcBorders/>
            <w:vAlign w:val="center"/>
          </w:tcPr>
          <w:p>
            <w:pPr>
              <w:pStyle w:val="TableContents"/>
              <w:bidi w:val="0"/>
              <w:spacing w:before="0" w:after="0"/>
              <w:ind w:left="0" w:right="0" w:hanging="0"/>
              <w:jc w:val="center"/>
              <w:rPr/>
            </w:pPr>
            <w:r>
              <w:rPr/>
              <w:t>​</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Exchange Rate</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74"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8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2" w:type="dxa"/>
            <w:tcBorders/>
            <w:vAlign w:val="center"/>
          </w:tcPr>
          <w:p>
            <w:pPr>
              <w:pStyle w:val="TableContents"/>
              <w:bidi w:val="0"/>
              <w:spacing w:before="0" w:after="0"/>
              <w:ind w:left="0" w:right="0" w:hanging="0"/>
              <w:jc w:val="center"/>
              <w:rPr/>
            </w:pPr>
            <w:r>
              <w:rPr/>
              <w:t> </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Fluctuations</w:t>
            </w:r>
          </w:p>
        </w:tc>
        <w:tc>
          <w:tcPr>
            <w:tcW w:w="346" w:type="dxa"/>
            <w:tcBorders/>
            <w:vAlign w:val="center"/>
          </w:tcPr>
          <w:p>
            <w:pPr>
              <w:pStyle w:val="TableContents"/>
              <w:bidi w:val="0"/>
              <w:spacing w:before="0" w:after="0"/>
              <w:ind w:left="0" w:right="0" w:hanging="0"/>
              <w:jc w:val="center"/>
              <w:rPr/>
            </w:pPr>
            <w:r>
              <w:rPr/>
              <w:t>  ​ ​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374" w:type="dxa"/>
            <w:tcBorders/>
            <w:vAlign w:val="center"/>
          </w:tcPr>
          <w:p>
            <w:pPr>
              <w:pStyle w:val="TableContents"/>
              <w:bidi w:val="0"/>
              <w:spacing w:before="0" w:after="0"/>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381"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192" w:type="dxa"/>
            <w:tcBorders/>
            <w:vAlign w:val="center"/>
          </w:tcPr>
          <w:p>
            <w:pPr>
              <w:pStyle w:val="TableContents"/>
              <w:bidi w:val="0"/>
              <w:spacing w:before="0" w:after="0"/>
              <w:ind w:left="0" w:right="0" w:hanging="0"/>
              <w:jc w:val="center"/>
              <w:rPr/>
            </w:pPr>
            <w:r>
              <w:rPr/>
              <w:t> </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April 1, 2026</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c>
          <w:tcPr>
            <w:tcW w:w="346"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74"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81"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before reclassifications</w:t>
            </w:r>
          </w:p>
        </w:tc>
        <w:tc>
          <w:tcPr>
            <w:tcW w:w="34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74"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righ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1"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192" w:type="dxa"/>
            <w:tcBorders/>
            <w:vAlign w:val="center"/>
          </w:tcPr>
          <w:p>
            <w:pPr>
              <w:pStyle w:val="TableContents"/>
              <w:bidi w:val="0"/>
              <w:spacing w:before="0" w:after="0"/>
              <w:ind w:left="0" w:right="0" w:hanging="0"/>
              <w:jc w:val="lef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t>
            </w:r>
          </w:p>
        </w:tc>
        <w:tc>
          <w:tcPr>
            <w:tcW w:w="320" w:type="dxa"/>
            <w:tcBorders/>
            <w:shd w:fill="CCEEFF" w:val="clear"/>
            <w:vAlign w:val="center"/>
          </w:tcPr>
          <w:p>
            <w:pPr>
              <w:pStyle w:val="TableContents"/>
              <w:bidi w:val="0"/>
              <w:spacing w:before="0" w:after="0"/>
              <w:ind w:left="0" w:right="0" w:hanging="0"/>
              <w:jc w:val="righ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effect</w:t>
            </w:r>
          </w:p>
        </w:tc>
        <w:tc>
          <w:tcPr>
            <w:tcW w:w="34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righ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1"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92" w:type="dxa"/>
            <w:tcBorders/>
            <w:vAlign w:val="center"/>
          </w:tcPr>
          <w:p>
            <w:pPr>
              <w:pStyle w:val="TableContents"/>
              <w:bidi w:val="0"/>
              <w:spacing w:before="0" w:after="0"/>
              <w:ind w:left="0" w:right="0" w:hanging="0"/>
              <w:jc w:val="lef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74"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1"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attributable to the Company</w:t>
            </w:r>
          </w:p>
        </w:tc>
        <w:tc>
          <w:tcPr>
            <w:tcW w:w="346" w:type="dxa"/>
            <w:tcBorders/>
            <w:vAlign w:val="center"/>
          </w:tcPr>
          <w:p>
            <w:pPr>
              <w:pStyle w:val="TableContents"/>
              <w:bidi w:val="0"/>
              <w:spacing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pPr>
            <w:r>
              <w:rPr/>
              <w:t>​</w:t>
            </w:r>
          </w:p>
        </w:tc>
        <w:tc>
          <w:tcPr>
            <w:tcW w:w="51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74"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81"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92" w:type="dxa"/>
            <w:tcBorders/>
            <w:vAlign w:val="center"/>
          </w:tcPr>
          <w:p>
            <w:pPr>
              <w:pStyle w:val="TableContents"/>
              <w:bidi w:val="0"/>
              <w:spacing w:before="0" w:after="0"/>
              <w:ind w:left="0" w:right="0" w:hanging="0"/>
              <w:jc w:val="lef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46" w:type="dxa"/>
            <w:tcBorders/>
            <w:shd w:fill="CCEEFF" w:val="clear"/>
            <w:vAlign w:val="center"/>
          </w:tcPr>
          <w:p>
            <w:pPr>
              <w:pStyle w:val="TableContents"/>
              <w:bidi w:val="0"/>
              <w:spacing w:before="0" w:after="0"/>
              <w:ind w:left="0" w:right="0" w:hanging="0"/>
              <w:jc w:val="left"/>
              <w:rPr/>
            </w:pPr>
            <w:r>
              <w:rPr/>
              <w:t>​</w:t>
            </w:r>
          </w:p>
        </w:tc>
        <w:tc>
          <w:tcPr>
            <w:tcW w:w="5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74"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81"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57"/>
        <w:gridCol w:w="346"/>
        <w:gridCol w:w="300"/>
        <w:gridCol w:w="901"/>
        <w:gridCol w:w="346"/>
        <w:gridCol w:w="439"/>
        <w:gridCol w:w="1002"/>
        <w:gridCol w:w="374"/>
        <w:gridCol w:w="320"/>
        <w:gridCol w:w="731"/>
        <w:gridCol w:w="381"/>
        <w:gridCol w:w="304"/>
        <w:gridCol w:w="912"/>
        <w:gridCol w:w="192"/>
      </w:tblGrid>
      <w:tr>
        <w:trPr/>
        <w:tc>
          <w:tcPr>
            <w:tcW w:w="3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322195" cy="175260"/>
                      <wp:effectExtent l="0" t="0" r="0" b="0"/>
                      <wp:wrapNone/>
                      <wp:docPr id="524" name="Frame523"/>
                      <a:graphic xmlns:a="http://schemas.openxmlformats.org/drawingml/2006/main">
                        <a:graphicData uri="http://schemas.microsoft.com/office/word/2010/wordprocessingShape">
                          <wps:wsp>
                            <wps:cNvSpPr txBox="1"/>
                            <wps:spPr>
                              <a:xfrm>
                                <a:off x="0" y="0"/>
                                <a:ext cx="2322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90500" cy="175260"/>
                      <wp:effectExtent l="0" t="0" r="0" b="0"/>
                      <wp:wrapNone/>
                      <wp:docPr id="526" name="Frame52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72135" cy="175260"/>
                      <wp:effectExtent l="0" t="0" r="0" b="0"/>
                      <wp:wrapNone/>
                      <wp:docPr id="527" name="Frame52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78765" cy="175260"/>
                      <wp:effectExtent l="0" t="0" r="0" b="0"/>
                      <wp:wrapNone/>
                      <wp:docPr id="529" name="Frame528"/>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36270" cy="175260"/>
                      <wp:effectExtent l="0" t="0" r="0" b="0"/>
                      <wp:wrapNone/>
                      <wp:docPr id="530" name="Frame529"/>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37490" cy="175260"/>
                      <wp:effectExtent l="0" t="0" r="0" b="0"/>
                      <wp:wrapNone/>
                      <wp:docPr id="531" name="Frame530"/>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03200" cy="175260"/>
                      <wp:effectExtent l="0" t="0" r="0" b="0"/>
                      <wp:wrapNone/>
                      <wp:docPr id="532" name="Frame53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64185" cy="175260"/>
                      <wp:effectExtent l="0" t="0" r="0" b="0"/>
                      <wp:wrapNone/>
                      <wp:docPr id="533" name="Frame532"/>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41935" cy="175260"/>
                      <wp:effectExtent l="0" t="0" r="0" b="0"/>
                      <wp:wrapNone/>
                      <wp:docPr id="534" name="Frame533"/>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93040" cy="175260"/>
                      <wp:effectExtent l="0" t="0" r="0" b="0"/>
                      <wp:wrapNone/>
                      <wp:docPr id="535" name="Frame53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79120" cy="175260"/>
                      <wp:effectExtent l="0" t="0" r="0" b="0"/>
                      <wp:wrapNone/>
                      <wp:docPr id="536" name="Frame535"/>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21920" cy="175260"/>
                      <wp:effectExtent l="0" t="0" r="0" b="0"/>
                      <wp:wrapNone/>
                      <wp:docPr id="537" name="Frame536"/>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pPr>
            <w:r>
              <w:rPr/>
              <w:t>​</w:t>
            </w:r>
          </w:p>
        </w:tc>
        <w:tc>
          <w:tcPr>
            <w:tcW w:w="374"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38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2" w:type="dxa"/>
            <w:tcBorders/>
            <w:vAlign w:val="center"/>
          </w:tcPr>
          <w:p>
            <w:pPr>
              <w:pStyle w:val="TableContents"/>
              <w:bidi w:val="0"/>
              <w:spacing w:before="0" w:after="0"/>
              <w:ind w:left="0" w:right="0" w:hanging="0"/>
              <w:jc w:val="left"/>
              <w:rPr/>
            </w:pPr>
            <w:r>
              <w:rPr/>
              <w:t>​</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pPr>
            <w:r>
              <w:rPr/>
              <w:t>​</w:t>
            </w:r>
          </w:p>
        </w:tc>
        <w:tc>
          <w:tcPr>
            <w:tcW w:w="374"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731" w:type="dxa"/>
            <w:tcBorders/>
            <w:vAlign w:val="center"/>
          </w:tcPr>
          <w:p>
            <w:pPr>
              <w:pStyle w:val="TableContents"/>
              <w:bidi w:val="0"/>
              <w:spacing w:before="0" w:after="0"/>
              <w:ind w:left="0" w:right="0" w:hanging="0"/>
              <w:jc w:val="center"/>
              <w:rPr/>
            </w:pPr>
            <w:r>
              <w:rPr/>
              <w:t>​</w:t>
            </w:r>
          </w:p>
        </w:tc>
        <w:tc>
          <w:tcPr>
            <w:tcW w:w="38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2" w:type="dxa"/>
            <w:tcBorders/>
            <w:vAlign w:val="center"/>
          </w:tcPr>
          <w:p>
            <w:pPr>
              <w:pStyle w:val="TableContents"/>
              <w:bidi w:val="0"/>
              <w:spacing w:before="0" w:after="0"/>
              <w:ind w:left="0" w:right="0" w:hanging="0"/>
              <w:jc w:val="center"/>
              <w:rPr/>
            </w:pPr>
            <w:r>
              <w:rPr/>
              <w:t> </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Effect of</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Certain</w:t>
            </w:r>
          </w:p>
        </w:tc>
        <w:tc>
          <w:tcPr>
            <w:tcW w:w="374"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731" w:type="dxa"/>
            <w:tcBorders/>
            <w:vAlign w:val="center"/>
          </w:tcPr>
          <w:p>
            <w:pPr>
              <w:pStyle w:val="TableContents"/>
              <w:bidi w:val="0"/>
              <w:spacing w:before="0" w:after="0"/>
              <w:ind w:left="0" w:right="0" w:hanging="0"/>
              <w:jc w:val="center"/>
              <w:rPr/>
            </w:pPr>
            <w:r>
              <w:rPr/>
              <w:t>​</w:t>
            </w:r>
          </w:p>
        </w:tc>
        <w:tc>
          <w:tcPr>
            <w:tcW w:w="38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2" w:type="dxa"/>
            <w:tcBorders/>
            <w:vAlign w:val="center"/>
          </w:tcPr>
          <w:p>
            <w:pPr>
              <w:pStyle w:val="TableContents"/>
              <w:bidi w:val="0"/>
              <w:spacing w:before="0" w:after="0"/>
              <w:ind w:left="0" w:right="0" w:hanging="0"/>
              <w:jc w:val="center"/>
              <w:rPr/>
            </w:pPr>
            <w:r>
              <w:rPr/>
              <w:t>​</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Exchange Rate</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74"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8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2" w:type="dxa"/>
            <w:tcBorders/>
            <w:vAlign w:val="center"/>
          </w:tcPr>
          <w:p>
            <w:pPr>
              <w:pStyle w:val="TableContents"/>
              <w:bidi w:val="0"/>
              <w:spacing w:before="0" w:after="0"/>
              <w:ind w:left="0" w:right="0" w:hanging="0"/>
              <w:jc w:val="center"/>
              <w:rPr/>
            </w:pPr>
            <w:r>
              <w:rPr/>
              <w:t>​</w: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Fluctuations</w:t>
            </w:r>
          </w:p>
        </w:tc>
        <w:tc>
          <w:tcPr>
            <w:tcW w:w="346" w:type="dxa"/>
            <w:tcBorders/>
            <w:vAlign w:val="center"/>
          </w:tcPr>
          <w:p>
            <w:pPr>
              <w:pStyle w:val="TableContents"/>
              <w:bidi w:val="0"/>
              <w:spacing w:before="0" w:after="0"/>
              <w:ind w:left="0" w:right="0" w:hanging="0"/>
              <w:jc w:val="center"/>
              <w:rPr/>
            </w:pPr>
            <w:r>
              <w:rPr/>
              <w:t>  ​ ​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374" w:type="dxa"/>
            <w:tcBorders/>
            <w:vAlign w:val="center"/>
          </w:tcPr>
          <w:p>
            <w:pPr>
              <w:pStyle w:val="TableContents"/>
              <w:bidi w:val="0"/>
              <w:spacing w:before="0" w:after="0"/>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381"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192" w:type="dxa"/>
            <w:tcBorders/>
            <w:vAlign w:val="center"/>
          </w:tcPr>
          <w:p>
            <w:pPr>
              <w:pStyle w:val="TableContents"/>
              <w:bidi w:val="0"/>
              <w:spacing w:before="0" w:after="0"/>
              <w:ind w:left="0" w:right="0" w:hanging="0"/>
              <w:jc w:val="center"/>
              <w:rPr/>
            </w:pPr>
            <w:r>
              <w:rPr/>
              <w:t> </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April 1, 2025</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w:t>
            </w:r>
          </w:p>
        </w:tc>
        <w:tc>
          <w:tcPr>
            <w:tcW w:w="34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74"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81"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w:t>
            </w:r>
          </w:p>
        </w:tc>
        <w:tc>
          <w:tcPr>
            <w:tcW w:w="192" w:type="dxa"/>
            <w:tcBorders/>
            <w:shd w:fill="CCEEFF" w:val="clear"/>
            <w:vAlign w:val="center"/>
          </w:tcPr>
          <w:p>
            <w:pPr>
              <w:pStyle w:val="TableContents"/>
              <w:bidi w:val="0"/>
              <w:spacing w:before="0" w:after="0"/>
              <w:ind w:left="0" w:right="0" w:hanging="0"/>
              <w:jc w:val="center"/>
              <w:rPr/>
            </w:pPr>
            <w:r>
              <w:rPr/>
              <w:t> </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before reclassifications</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pPr>
            <w:r>
              <w:rPr/>
              <w:t>​</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74"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righ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1"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92" w:type="dxa"/>
            <w:tcBorders/>
            <w:vAlign w:val="center"/>
          </w:tcPr>
          <w:p>
            <w:pPr>
              <w:pStyle w:val="TableContents"/>
              <w:bidi w:val="0"/>
              <w:spacing w:before="0" w:after="0"/>
              <w:ind w:left="0" w:right="0" w:hanging="0"/>
              <w:jc w:val="lef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right"/>
              <w:rPr/>
            </w:pPr>
            <w:r>
              <w:rPr/>
              <w:t>​</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t>
            </w:r>
          </w:p>
        </w:tc>
        <w:tc>
          <w:tcPr>
            <w:tcW w:w="320" w:type="dxa"/>
            <w:tcBorders/>
            <w:shd w:fill="CCEEFF" w:val="clear"/>
            <w:vAlign w:val="center"/>
          </w:tcPr>
          <w:p>
            <w:pPr>
              <w:pStyle w:val="TableContents"/>
              <w:bidi w:val="0"/>
              <w:spacing w:before="0" w:after="0"/>
              <w:ind w:left="0" w:right="0" w:hanging="0"/>
              <w:jc w:val="righ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effect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pPr>
            <w:r>
              <w:rPr/>
              <w:t>​</w:t>
            </w:r>
          </w:p>
        </w:tc>
        <w:tc>
          <w:tcPr>
            <w:tcW w:w="1002"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righ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81"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92" w:type="dxa"/>
            <w:tcBorders/>
            <w:vAlign w:val="center"/>
          </w:tcPr>
          <w:p>
            <w:pPr>
              <w:pStyle w:val="TableContents"/>
              <w:bidi w:val="0"/>
              <w:spacing w:before="0" w:after="0"/>
              <w:ind w:left="0" w:right="0" w:hanging="0"/>
              <w:jc w:val="lef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74"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1"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attributable to the Company</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0"/>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74"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81"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192" w:type="dxa"/>
            <w:tcBorders/>
            <w:vAlign w:val="center"/>
          </w:tcPr>
          <w:p>
            <w:pPr>
              <w:pStyle w:val="TableContents"/>
              <w:bidi w:val="0"/>
              <w:spacing w:before="0" w:after="0"/>
              <w:ind w:left="0" w:right="0" w:hanging="0"/>
              <w:jc w:val="left"/>
              <w:rPr/>
            </w:pPr>
            <w:r>
              <w:rPr/>
              <w:t>​</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shd w:fill="CCEEFF" w:val="clear"/>
            <w:vAlign w:val="center"/>
          </w:tcPr>
          <w:p>
            <w:pPr>
              <w:pStyle w:val="TableContents"/>
              <w:bidi w:val="0"/>
              <w:spacing w:before="0" w:after="0"/>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74"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81"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w:t>
            </w:r>
          </w:p>
        </w:tc>
        <w:tc>
          <w:tcPr>
            <w:tcW w:w="192"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is recorded to cost of goods sold and interest expense, net in the Condensed Consolidated Results of Operations (see Note 6 for additional information).</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 is included in the computation of net periodic pension cost (see Note 8 for additional information) and net post-retirement benefit cost.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firstLine="360"/>
        <w:jc w:val="left"/>
        <w:rPr>
          <w:rFonts w:ascii="Times New Roman;Times;serif" w:hAnsi="Times New Roman;Times;serif"/>
          <w:sz w:val="20"/>
        </w:rPr>
      </w:pPr>
      <w:bookmarkStart w:id="1542" w:name="Tc_F0UKrWWuAUmpjeDO0BFBkQ_12_11"/>
      <w:bookmarkStart w:id="1543" w:name="Tc_oMm6PX66k0ebafxgklzClQ_12_8"/>
      <w:bookmarkStart w:id="1544" w:name="Tc_xDiFCdg6ukOtMzCzzrPMCA_12_5"/>
      <w:bookmarkStart w:id="1545" w:name="Tc_hUpjvkYJnUe03KsxepfTGQ_12_2"/>
      <w:bookmarkStart w:id="1546" w:name="Tc_o7WMgdwyVUWfHAQFs_Zuqg_12_0"/>
      <w:bookmarkStart w:id="1547" w:name="Tc_q1ilQc3r20GFQOcg0RZ-dw_11_0"/>
      <w:bookmarkStart w:id="1548" w:name="Tc_WPUjIubC-Ua5LN6vwPNyrA_10_0"/>
      <w:bookmarkStart w:id="1549" w:name="Tc_c3cWNxbNL0aWqToSsQ5n1w_9_0"/>
      <w:bookmarkStart w:id="1550" w:name="Tc_hLeVNiSL3kCGaJTeyHGadg_8_10"/>
      <w:bookmarkStart w:id="1551" w:name="Tc_E0KYJTj88ESQqrc41HnsGw_8_7"/>
      <w:bookmarkStart w:id="1552" w:name="Tc_F8WGGIwC9Eir75V7knSzFg_8_0"/>
      <w:bookmarkStart w:id="1553" w:name="Tc_jRBsknvRy0u0sf3X0BHA9A_7_0"/>
      <w:bookmarkStart w:id="1554" w:name="Tc_HGwk240oE0y-FIddE1sQSw_6_11"/>
      <w:bookmarkStart w:id="1555" w:name="Tc_4l-h-zJHcEO5qsR8UR7iwA_6_8"/>
      <w:bookmarkStart w:id="1556" w:name="Tc_DGvloOA0SE-jDuLFtnunWA_6_5"/>
      <w:bookmarkStart w:id="1557" w:name="Tc_9zM4zmyFDEituxaHNcgblw_6_2"/>
      <w:bookmarkStart w:id="1558" w:name="Tc_WXwwO_cO20-T117ktYqkpA_6_0"/>
      <w:bookmarkStart w:id="1559" w:name="Tc_uajj1HbAVUeep3Ke3P9lgw_5_11"/>
      <w:bookmarkStart w:id="1560" w:name="Tc_Vz3sfh5SFU6vPznou8JbJg_5_8"/>
      <w:bookmarkStart w:id="1561" w:name="Tc_Q57on5v59Ui4RCQVY6V_Eg_5_5"/>
      <w:bookmarkStart w:id="1562" w:name="Tc_vKHrVDg_iEG5v4eAyzXq5g_5_2"/>
      <w:bookmarkStart w:id="1563" w:name="Tc_d5znSnu-gki-GqfeenyUCw_4_11"/>
      <w:bookmarkStart w:id="1564" w:name="Tc__fqiCXMeI06eg4JW9iBBvw_4_8"/>
      <w:bookmarkStart w:id="1565" w:name="Tc_6KNyOm9FIkCBZnbK-vwhLQ_4_5"/>
      <w:bookmarkStart w:id="1566" w:name="Tc_1wQ6sqIONkGKqX1EpGf34A_4_2"/>
      <w:bookmarkStart w:id="1567" w:name="Tc_oWgrbEBAgE6GCogEXTaLHg_3_11"/>
      <w:bookmarkStart w:id="1568" w:name="Tc_oM6RBV_W-UeHa-Oa-IDWFw_3_5"/>
      <w:bookmarkStart w:id="1569" w:name="Tc_Q6P66me1Yk27YHOBmx_wbQ_3_2"/>
      <w:bookmarkStart w:id="1570" w:name="Tc_TDZ5gOWdrUuv_qp4m88eYA_2_11"/>
      <w:bookmarkStart w:id="1571" w:name="Tc_KvuFtvq7Wk6ItNuVtwnOfg_1_11"/>
      <w:bookmarkStart w:id="1572" w:name="_d2c7a5e0_e443_4701_858c_e7683e291327"/>
      <w:bookmarkStart w:id="1573" w:name="Tc_5EgTdAffbUiCMC85yZWJzg_12_11"/>
      <w:bookmarkStart w:id="1574" w:name="Tc_DyRFq3Jk90arAyZ7xuKLUA_12_8"/>
      <w:bookmarkStart w:id="1575" w:name="Tc_S81qdDFOjUeywE1u3FVS2A_12_5"/>
      <w:bookmarkStart w:id="1576" w:name="Tc_4nkVtuXF5EaW0oMnQQEuVg_12_2"/>
      <w:bookmarkStart w:id="1577" w:name="Tc_G1F8l6hlKUijVCKRnuvcyA_12_0"/>
      <w:bookmarkStart w:id="1578" w:name="Tc_tSh7ZxhLf0GkLN2hM2NtKw_11_0"/>
      <w:bookmarkStart w:id="1579" w:name="Tc_60id6kuMjkm5lcY8I9PbUA_10_0"/>
      <w:bookmarkStart w:id="1580" w:name="Tc_r-UyR4wpUEyoeIpQpOlfmA_9_0"/>
      <w:bookmarkStart w:id="1581" w:name="Tc_igYvT-6wPUOx8TyD_Y3XNw_8_10"/>
      <w:bookmarkStart w:id="1582" w:name="Tc_K87y57XDq0CeTmf9r2vniA_8_7"/>
      <w:bookmarkStart w:id="1583" w:name="Tc_ECuBi2i1_k-1f7edPHIPBw_8_0"/>
      <w:bookmarkStart w:id="1584" w:name="Tc_QLUYXZ7hO0i7dJsgPdjbxw_7_0"/>
      <w:bookmarkStart w:id="1585" w:name="Tc_wC5ppTSEk0-txRLJWSHupA_6_11"/>
      <w:bookmarkStart w:id="1586" w:name="Tc_RNjz88m6gkWaNtiDmXJ6Zw_6_8"/>
      <w:bookmarkStart w:id="1587" w:name="Tc_UGpjVybVzEKLKHIn3dLgqg_6_5"/>
      <w:bookmarkStart w:id="1588" w:name="Tc_g-pmuKCBvkaU9NvEVjMT4g_6_2"/>
      <w:bookmarkStart w:id="1589" w:name="Tc_SEuOem3ICkuKjh9Pe8-bvQ_6_0"/>
      <w:bookmarkStart w:id="1590" w:name="Tc_uqw3dC27FU-OWQBzWBuUmQ_5_11"/>
      <w:bookmarkStart w:id="1591" w:name="Tc_558m2n6GRkqcGLcXa2umSg_5_8"/>
      <w:bookmarkStart w:id="1592" w:name="Tc_Hop0FJCR5Ea--bwIbP9-sw_5_5"/>
      <w:bookmarkStart w:id="1593" w:name="Tc_9NEYUql4yEiZw--uYx8zdA_5_2"/>
      <w:bookmarkStart w:id="1594" w:name="Tc_2R7wZJvzZUa-voYQxtNU9g_4_11"/>
      <w:bookmarkStart w:id="1595" w:name="Tc_mETUCjK6GUioIBsSDA-t-Q_4_8"/>
      <w:bookmarkStart w:id="1596" w:name="Tc_bctt8PVZn0iMVuEbd8bAAQ_4_5"/>
      <w:bookmarkStart w:id="1597" w:name="Tc_IQL2CT9oJ02bLM3nzzQoqw_4_2"/>
      <w:bookmarkStart w:id="1598" w:name="Tc_hQgmsP3fNES2d8PXiHn9Yg_3_11"/>
      <w:bookmarkStart w:id="1599" w:name="Tc_NlRGC6-DZk-KEkJQrElb0Q_3_5"/>
      <w:bookmarkStart w:id="1600" w:name="Tc_7sp9Ad1-z0mki3w43GsM5g_3_2"/>
      <w:bookmarkStart w:id="1601" w:name="Tc_4xBusDyuUU2g-16T9cyrNw_2_11"/>
      <w:bookmarkStart w:id="1602" w:name="Tc_0zf8gXp2mUqsghPfKqaF0g_1_11"/>
      <w:bookmarkStart w:id="1603" w:name="_15d07fe6_a17c_4387_8e74_73388a151d48"/>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r>
        <w:rPr>
          <w:rFonts w:ascii="Times New Roman;Times;serif" w:hAnsi="Times New Roman;Times;serif"/>
          <w:sz w:val="20"/>
        </w:rPr>
        <w:t>The activity in accumulated other comprehensive loss for the six months ended June 30, 2026 and 2025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99"/>
        <w:gridCol w:w="286"/>
        <w:gridCol w:w="300"/>
        <w:gridCol w:w="901"/>
        <w:gridCol w:w="286"/>
        <w:gridCol w:w="439"/>
        <w:gridCol w:w="1002"/>
        <w:gridCol w:w="343"/>
        <w:gridCol w:w="320"/>
        <w:gridCol w:w="731"/>
        <w:gridCol w:w="350"/>
        <w:gridCol w:w="304"/>
        <w:gridCol w:w="912"/>
        <w:gridCol w:w="332"/>
      </w:tblGrid>
      <w:tr>
        <w:trPr/>
        <w:tc>
          <w:tcPr>
            <w:tcW w:w="3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348865" cy="175260"/>
                      <wp:effectExtent l="0" t="0" r="0" b="0"/>
                      <wp:wrapNone/>
                      <wp:docPr id="538" name="Frame537"/>
                      <a:graphic xmlns:a="http://schemas.openxmlformats.org/drawingml/2006/main">
                        <a:graphicData uri="http://schemas.microsoft.com/office/word/2010/wordprocessingShape">
                          <wps:wsp>
                            <wps:cNvSpPr txBox="1"/>
                            <wps:spPr>
                              <a:xfrm>
                                <a:off x="0" y="0"/>
                                <a:ext cx="2348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81610" cy="175260"/>
                      <wp:effectExtent l="0" t="0" r="0" b="0"/>
                      <wp:wrapNone/>
                      <wp:docPr id="539" name="Frame5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90500" cy="175260"/>
                      <wp:effectExtent l="0" t="0" r="0" b="0"/>
                      <wp:wrapNone/>
                      <wp:docPr id="540" name="Frame53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572135" cy="175260"/>
                      <wp:effectExtent l="0" t="0" r="0" b="0"/>
                      <wp:wrapNone/>
                      <wp:docPr id="541" name="Frame54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81610" cy="175260"/>
                      <wp:effectExtent l="0" t="0" r="0" b="0"/>
                      <wp:wrapNone/>
                      <wp:docPr id="542" name="Frame54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78765" cy="175260"/>
                      <wp:effectExtent l="0" t="0" r="0" b="0"/>
                      <wp:wrapNone/>
                      <wp:docPr id="543" name="Frame542"/>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36270" cy="175260"/>
                      <wp:effectExtent l="0" t="0" r="0" b="0"/>
                      <wp:wrapNone/>
                      <wp:docPr id="544" name="Frame543"/>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7805" cy="175260"/>
                      <wp:effectExtent l="0" t="0" r="0" b="0"/>
                      <wp:wrapNone/>
                      <wp:docPr id="545" name="Frame544"/>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3200" cy="175260"/>
                      <wp:effectExtent l="0" t="0" r="0" b="0"/>
                      <wp:wrapNone/>
                      <wp:docPr id="546" name="Frame54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464185" cy="175260"/>
                      <wp:effectExtent l="0" t="0" r="0" b="0"/>
                      <wp:wrapNone/>
                      <wp:docPr id="547" name="Frame546"/>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22250" cy="175260"/>
                      <wp:effectExtent l="0" t="0" r="0" b="0"/>
                      <wp:wrapNone/>
                      <wp:docPr id="548" name="Frame54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93040" cy="175260"/>
                      <wp:effectExtent l="0" t="0" r="0" b="0"/>
                      <wp:wrapNone/>
                      <wp:docPr id="549" name="Frame54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79120" cy="175260"/>
                      <wp:effectExtent l="0" t="0" r="0" b="0"/>
                      <wp:wrapNone/>
                      <wp:docPr id="550" name="Frame549"/>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0820" cy="175260"/>
                      <wp:effectExtent l="0" t="0" r="0" b="0"/>
                      <wp:wrapNone/>
                      <wp:docPr id="551" name="Frame550"/>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32" w:type="dxa"/>
            <w:tcBorders/>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731"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32" w:type="dxa"/>
            <w:tcBorders/>
            <w:vAlign w:val="center"/>
          </w:tcPr>
          <w:p>
            <w:pPr>
              <w:pStyle w:val="TableContents"/>
              <w:bidi w:val="0"/>
              <w:spacing w:before="0" w:after="0"/>
              <w:ind w:left="0" w:right="0" w:hanging="0"/>
              <w:jc w:val="center"/>
              <w:rPr/>
            </w:pPr>
            <w:r>
              <w:rPr/>
              <w:t> </w:t>
            </w:r>
          </w:p>
        </w:tc>
      </w:tr>
      <w:tr>
        <w:trPr/>
        <w:tc>
          <w:tcPr>
            <w:tcW w:w="36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Effect of</w:t>
            </w:r>
          </w:p>
        </w:tc>
        <w:tc>
          <w:tcPr>
            <w:tcW w:w="28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Certain</w:t>
            </w:r>
          </w:p>
        </w:tc>
        <w:tc>
          <w:tcPr>
            <w:tcW w:w="343"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731"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32" w:type="dxa"/>
            <w:tcBorders/>
            <w:vAlign w:val="center"/>
          </w:tcPr>
          <w:p>
            <w:pPr>
              <w:pStyle w:val="TableContents"/>
              <w:bidi w:val="0"/>
              <w:spacing w:before="0" w:after="0"/>
              <w:ind w:left="0" w:right="0" w:hanging="0"/>
              <w:jc w:val="center"/>
              <w:rPr/>
            </w:pPr>
            <w:r>
              <w:rPr/>
              <w:t>​</w:t>
            </w:r>
          </w:p>
        </w:tc>
      </w:tr>
      <w:tr>
        <w:trPr/>
        <w:tc>
          <w:tcPr>
            <w:tcW w:w="36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Exchange Rate</w:t>
            </w:r>
          </w:p>
        </w:tc>
        <w:tc>
          <w:tcPr>
            <w:tcW w:w="28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43"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50"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32" w:type="dxa"/>
            <w:tcBorders/>
            <w:vAlign w:val="center"/>
          </w:tcPr>
          <w:p>
            <w:pPr>
              <w:pStyle w:val="TableContents"/>
              <w:bidi w:val="0"/>
              <w:spacing w:before="0" w:after="0"/>
              <w:ind w:left="0" w:right="0" w:hanging="0"/>
              <w:jc w:val="center"/>
              <w:rPr/>
            </w:pPr>
            <w:r>
              <w:rPr/>
              <w:t>​</w:t>
            </w:r>
          </w:p>
        </w:tc>
      </w:tr>
      <w:tr>
        <w:trPr/>
        <w:tc>
          <w:tcPr>
            <w:tcW w:w="36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Fluctuations</w:t>
            </w:r>
          </w:p>
        </w:tc>
        <w:tc>
          <w:tcPr>
            <w:tcW w:w="286" w:type="dxa"/>
            <w:tcBorders/>
            <w:vAlign w:val="center"/>
          </w:tcPr>
          <w:p>
            <w:pPr>
              <w:pStyle w:val="TableContents"/>
              <w:bidi w:val="0"/>
              <w:spacing w:before="0" w:after="0"/>
              <w:ind w:left="0" w:right="0" w:hanging="0"/>
              <w:jc w:val="center"/>
              <w:rPr/>
            </w:pPr>
            <w:r>
              <w:rPr/>
              <w:t>  ​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343" w:type="dxa"/>
            <w:tcBorders/>
            <w:vAlign w:val="center"/>
          </w:tcPr>
          <w:p>
            <w:pPr>
              <w:pStyle w:val="TableContents"/>
              <w:bidi w:val="0"/>
              <w:spacing w:before="0" w:after="0"/>
              <w:ind w:left="0" w:right="0" w:hanging="0"/>
              <w:jc w:val="center"/>
              <w:rPr/>
            </w:pPr>
            <w:r>
              <w:rPr/>
              <w:t>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350" w:type="dxa"/>
            <w:tcBorders/>
            <w:vAlign w:val="center"/>
          </w:tcPr>
          <w:p>
            <w:pPr>
              <w:pStyle w:val="TableContents"/>
              <w:bidi w:val="0"/>
              <w:spacing w:before="0" w:after="0"/>
              <w:ind w:left="0" w:right="0" w:hanging="0"/>
              <w:jc w:val="center"/>
              <w:rPr/>
            </w:pPr>
            <w:r>
              <w:rPr/>
              <w:t>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32" w:type="dxa"/>
            <w:tcBorders/>
            <w:vAlign w:val="center"/>
          </w:tcPr>
          <w:p>
            <w:pPr>
              <w:pStyle w:val="TableContents"/>
              <w:bidi w:val="0"/>
              <w:spacing w:before="0" w:after="0"/>
              <w:ind w:left="0" w:right="0" w:hanging="0"/>
              <w:jc w:val="center"/>
              <w:rPr/>
            </w:pPr>
            <w:r>
              <w:rPr/>
              <w:t> </w:t>
            </w:r>
          </w:p>
        </w:tc>
      </w:tr>
      <w:tr>
        <w:trPr/>
        <w:tc>
          <w:tcPr>
            <w:tcW w:w="3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2026</w:t>
            </w:r>
          </w:p>
        </w:tc>
        <w:tc>
          <w:tcPr>
            <w:tcW w:w="28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28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3"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50"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332" w:type="dxa"/>
            <w:tcBorders/>
            <w:shd w:fill="CCEEFF" w:val="clear"/>
            <w:vAlign w:val="center"/>
          </w:tcPr>
          <w:p>
            <w:pPr>
              <w:pStyle w:val="TableContents"/>
              <w:bidi w:val="0"/>
              <w:spacing w:before="0" w:after="0"/>
              <w:ind w:left="0" w:right="0" w:hanging="0"/>
              <w:jc w:val="center"/>
              <w:rPr/>
            </w:pPr>
            <w:r>
              <w:rPr/>
              <w:t>  ​ ​</w:t>
            </w:r>
          </w:p>
        </w:tc>
      </w:tr>
      <w:tr>
        <w:trPr/>
        <w:tc>
          <w:tcPr>
            <w:tcW w:w="36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before reclassifications</w:t>
            </w:r>
          </w:p>
        </w:tc>
        <w:tc>
          <w:tcPr>
            <w:tcW w:w="28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28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pPr>
            <w:r>
              <w:rPr/>
              <w:t>​</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3"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righ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50"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32"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28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right"/>
              <w:rPr/>
            </w:pPr>
            <w:r>
              <w:rPr/>
              <w:t>​</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t>
            </w:r>
          </w:p>
        </w:tc>
        <w:tc>
          <w:tcPr>
            <w:tcW w:w="320" w:type="dxa"/>
            <w:tcBorders/>
            <w:shd w:fill="CCEEFF" w:val="clear"/>
            <w:vAlign w:val="center"/>
          </w:tcPr>
          <w:p>
            <w:pPr>
              <w:pStyle w:val="TableContents"/>
              <w:bidi w:val="0"/>
              <w:spacing w:before="0" w:after="0"/>
              <w:ind w:left="0" w:right="0" w:hanging="0"/>
              <w:jc w:val="righ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effect</w:t>
            </w:r>
          </w:p>
        </w:tc>
        <w:tc>
          <w:tcPr>
            <w:tcW w:w="28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pPr>
            <w:r>
              <w:rPr/>
              <w:t>​</w:t>
            </w:r>
          </w:p>
        </w:tc>
        <w:tc>
          <w:tcPr>
            <w:tcW w:w="1002"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righ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50"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32"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28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3"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0"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attributable to the Company</w:t>
            </w:r>
          </w:p>
        </w:tc>
        <w:tc>
          <w:tcPr>
            <w:tcW w:w="28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286" w:type="dxa"/>
            <w:tcBorders/>
            <w:vAlign w:val="center"/>
          </w:tcPr>
          <w:p>
            <w:pPr>
              <w:pStyle w:val="TableContents"/>
              <w:bidi w:val="0"/>
              <w:spacing w:before="0" w:after="0"/>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3"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50"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32"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2026</w:t>
            </w:r>
          </w:p>
        </w:tc>
        <w:tc>
          <w:tcPr>
            <w:tcW w:w="28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286" w:type="dxa"/>
            <w:tcBorders/>
            <w:shd w:fill="CCEEFF" w:val="clear"/>
            <w:vAlign w:val="center"/>
          </w:tcPr>
          <w:p>
            <w:pPr>
              <w:pStyle w:val="TableContents"/>
              <w:bidi w:val="0"/>
              <w:spacing w:before="0" w:after="0"/>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3"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50"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33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99"/>
        <w:gridCol w:w="286"/>
        <w:gridCol w:w="300"/>
        <w:gridCol w:w="901"/>
        <w:gridCol w:w="286"/>
        <w:gridCol w:w="439"/>
        <w:gridCol w:w="1002"/>
        <w:gridCol w:w="343"/>
        <w:gridCol w:w="320"/>
        <w:gridCol w:w="731"/>
        <w:gridCol w:w="350"/>
        <w:gridCol w:w="304"/>
        <w:gridCol w:w="912"/>
        <w:gridCol w:w="332"/>
      </w:tblGrid>
      <w:tr>
        <w:trPr/>
        <w:tc>
          <w:tcPr>
            <w:tcW w:w="3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348865" cy="175260"/>
                      <wp:effectExtent l="0" t="0" r="0" b="0"/>
                      <wp:wrapNone/>
                      <wp:docPr id="552" name="Frame551"/>
                      <a:graphic xmlns:a="http://schemas.openxmlformats.org/drawingml/2006/main">
                        <a:graphicData uri="http://schemas.microsoft.com/office/word/2010/wordprocessingShape">
                          <wps:wsp>
                            <wps:cNvSpPr txBox="1"/>
                            <wps:spPr>
                              <a:xfrm>
                                <a:off x="0" y="0"/>
                                <a:ext cx="2348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81610" cy="175260"/>
                      <wp:effectExtent l="0" t="0" r="0" b="0"/>
                      <wp:wrapNone/>
                      <wp:docPr id="553" name="Frame55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90500" cy="175260"/>
                      <wp:effectExtent l="0" t="0" r="0" b="0"/>
                      <wp:wrapNone/>
                      <wp:docPr id="554" name="Frame55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72135" cy="175260"/>
                      <wp:effectExtent l="0" t="0" r="0" b="0"/>
                      <wp:wrapNone/>
                      <wp:docPr id="555" name="Frame5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81610" cy="175260"/>
                      <wp:effectExtent l="0" t="0" r="0" b="0"/>
                      <wp:wrapNone/>
                      <wp:docPr id="556" name="Frame55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78765" cy="175260"/>
                      <wp:effectExtent l="0" t="0" r="0" b="0"/>
                      <wp:wrapNone/>
                      <wp:docPr id="557" name="Frame556"/>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36270" cy="175260"/>
                      <wp:effectExtent l="0" t="0" r="0" b="0"/>
                      <wp:wrapNone/>
                      <wp:docPr id="558" name="Frame557"/>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7805" cy="175260"/>
                      <wp:effectExtent l="0" t="0" r="0" b="0"/>
                      <wp:wrapNone/>
                      <wp:docPr id="559" name="Frame558"/>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3200" cy="175260"/>
                      <wp:effectExtent l="0" t="0" r="0" b="0"/>
                      <wp:wrapNone/>
                      <wp:docPr id="560" name="Frame55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464185" cy="175260"/>
                      <wp:effectExtent l="0" t="0" r="0" b="0"/>
                      <wp:wrapNone/>
                      <wp:docPr id="561" name="Frame560"/>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22250" cy="175260"/>
                      <wp:effectExtent l="0" t="0" r="0" b="0"/>
                      <wp:wrapNone/>
                      <wp:docPr id="562" name="Frame56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93040" cy="175260"/>
                      <wp:effectExtent l="0" t="0" r="0" b="0"/>
                      <wp:wrapNone/>
                      <wp:docPr id="563" name="Frame562"/>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579120" cy="175260"/>
                      <wp:effectExtent l="0" t="0" r="0" b="0"/>
                      <wp:wrapNone/>
                      <wp:docPr id="564" name="Frame563"/>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0820" cy="175260"/>
                      <wp:effectExtent l="0" t="0" r="0" b="0"/>
                      <wp:wrapNone/>
                      <wp:docPr id="565" name="Frame564"/>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32" w:type="dxa"/>
            <w:tcBorders/>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731"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32" w:type="dxa"/>
            <w:tcBorders/>
            <w:vAlign w:val="center"/>
          </w:tcPr>
          <w:p>
            <w:pPr>
              <w:pStyle w:val="TableContents"/>
              <w:bidi w:val="0"/>
              <w:spacing w:before="0" w:after="0"/>
              <w:ind w:left="0" w:right="0" w:hanging="0"/>
              <w:jc w:val="center"/>
              <w:rPr/>
            </w:pPr>
            <w:r>
              <w:rPr/>
              <w:t> </w:t>
            </w:r>
          </w:p>
        </w:tc>
      </w:tr>
      <w:tr>
        <w:trPr/>
        <w:tc>
          <w:tcPr>
            <w:tcW w:w="36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Effect of</w:t>
            </w:r>
          </w:p>
        </w:tc>
        <w:tc>
          <w:tcPr>
            <w:tcW w:w="28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Certain</w:t>
            </w:r>
          </w:p>
        </w:tc>
        <w:tc>
          <w:tcPr>
            <w:tcW w:w="343"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731"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32" w:type="dxa"/>
            <w:tcBorders/>
            <w:vAlign w:val="center"/>
          </w:tcPr>
          <w:p>
            <w:pPr>
              <w:pStyle w:val="TableContents"/>
              <w:bidi w:val="0"/>
              <w:spacing w:before="0" w:after="0"/>
              <w:ind w:left="0" w:right="0" w:hanging="0"/>
              <w:jc w:val="center"/>
              <w:rPr/>
            </w:pPr>
            <w:r>
              <w:rPr/>
              <w:t>​</w:t>
            </w:r>
          </w:p>
        </w:tc>
      </w:tr>
      <w:tr>
        <w:trPr/>
        <w:tc>
          <w:tcPr>
            <w:tcW w:w="36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Exchange Rate</w:t>
            </w:r>
          </w:p>
        </w:tc>
        <w:tc>
          <w:tcPr>
            <w:tcW w:w="28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43"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w:t>
            </w:r>
          </w:p>
        </w:tc>
        <w:tc>
          <w:tcPr>
            <w:tcW w:w="350"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32" w:type="dxa"/>
            <w:tcBorders/>
            <w:vAlign w:val="center"/>
          </w:tcPr>
          <w:p>
            <w:pPr>
              <w:pStyle w:val="TableContents"/>
              <w:bidi w:val="0"/>
              <w:spacing w:before="0" w:after="0"/>
              <w:ind w:left="0" w:right="0" w:hanging="0"/>
              <w:jc w:val="center"/>
              <w:rPr/>
            </w:pPr>
            <w:r>
              <w:rPr/>
              <w:t>​</w:t>
            </w:r>
          </w:p>
        </w:tc>
      </w:tr>
      <w:tr>
        <w:trPr/>
        <w:tc>
          <w:tcPr>
            <w:tcW w:w="36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Fluctuations</w:t>
            </w:r>
          </w:p>
        </w:tc>
        <w:tc>
          <w:tcPr>
            <w:tcW w:w="286" w:type="dxa"/>
            <w:tcBorders/>
            <w:vAlign w:val="center"/>
          </w:tcPr>
          <w:p>
            <w:pPr>
              <w:pStyle w:val="TableContents"/>
              <w:bidi w:val="0"/>
              <w:spacing w:before="0" w:after="0"/>
              <w:ind w:left="0" w:right="0" w:hanging="0"/>
              <w:jc w:val="center"/>
              <w:rPr/>
            </w:pPr>
            <w:r>
              <w:rPr/>
              <w:t>  ​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343" w:type="dxa"/>
            <w:tcBorders/>
            <w:vAlign w:val="center"/>
          </w:tcPr>
          <w:p>
            <w:pPr>
              <w:pStyle w:val="TableContents"/>
              <w:bidi w:val="0"/>
              <w:spacing w:before="0" w:after="0"/>
              <w:ind w:left="0" w:right="0" w:hanging="0"/>
              <w:jc w:val="center"/>
              <w:rPr/>
            </w:pPr>
            <w:r>
              <w:rPr/>
              <w:t>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350" w:type="dxa"/>
            <w:tcBorders/>
            <w:vAlign w:val="center"/>
          </w:tcPr>
          <w:p>
            <w:pPr>
              <w:pStyle w:val="TableContents"/>
              <w:bidi w:val="0"/>
              <w:spacing w:before="0" w:after="0"/>
              <w:ind w:left="0" w:right="0" w:hanging="0"/>
              <w:jc w:val="center"/>
              <w:rPr/>
            </w:pPr>
            <w:r>
              <w:rPr/>
              <w:t>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32" w:type="dxa"/>
            <w:tcBorders/>
            <w:vAlign w:val="center"/>
          </w:tcPr>
          <w:p>
            <w:pPr>
              <w:pStyle w:val="TableContents"/>
              <w:bidi w:val="0"/>
              <w:spacing w:before="0" w:after="0"/>
              <w:ind w:left="0" w:right="0" w:hanging="0"/>
              <w:jc w:val="center"/>
              <w:rPr/>
            </w:pPr>
            <w:r>
              <w:rPr/>
              <w:t> </w:t>
            </w:r>
          </w:p>
        </w:tc>
      </w:tr>
      <w:tr>
        <w:trPr/>
        <w:tc>
          <w:tcPr>
            <w:tcW w:w="3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2025</w:t>
            </w:r>
          </w:p>
        </w:tc>
        <w:tc>
          <w:tcPr>
            <w:tcW w:w="28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28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3"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50"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w:t>
            </w:r>
          </w:p>
        </w:tc>
        <w:tc>
          <w:tcPr>
            <w:tcW w:w="332" w:type="dxa"/>
            <w:tcBorders/>
            <w:shd w:fill="CCEEFF" w:val="clear"/>
            <w:vAlign w:val="center"/>
          </w:tcPr>
          <w:p>
            <w:pPr>
              <w:pStyle w:val="TableContents"/>
              <w:bidi w:val="0"/>
              <w:spacing w:before="0" w:after="0"/>
              <w:ind w:left="0" w:right="0" w:hanging="0"/>
              <w:jc w:val="center"/>
              <w:rPr/>
            </w:pPr>
            <w:r>
              <w:rPr/>
              <w:t>  ​ ​</w:t>
            </w:r>
          </w:p>
        </w:tc>
      </w:tr>
      <w:tr>
        <w:trPr/>
        <w:tc>
          <w:tcPr>
            <w:tcW w:w="36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before reclassifications</w:t>
            </w:r>
          </w:p>
        </w:tc>
        <w:tc>
          <w:tcPr>
            <w:tcW w:w="28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righ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28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pPr>
            <w:r>
              <w:rPr/>
              <w:t>​</w:t>
            </w:r>
          </w:p>
        </w:tc>
        <w:tc>
          <w:tcPr>
            <w:tcW w:w="10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3"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righ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0"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32"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28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right"/>
              <w:rPr/>
            </w:pPr>
            <w:r>
              <w:rPr/>
              <w:t>​</w:t>
            </w:r>
          </w:p>
        </w:tc>
        <w:tc>
          <w:tcPr>
            <w:tcW w:w="10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t>
            </w:r>
          </w:p>
        </w:tc>
        <w:tc>
          <w:tcPr>
            <w:tcW w:w="320" w:type="dxa"/>
            <w:tcBorders/>
            <w:shd w:fill="CCEEFF" w:val="clear"/>
            <w:vAlign w:val="center"/>
          </w:tcPr>
          <w:p>
            <w:pPr>
              <w:pStyle w:val="TableContents"/>
              <w:bidi w:val="0"/>
              <w:spacing w:before="0" w:after="0"/>
              <w:ind w:left="0" w:right="0" w:hanging="0"/>
              <w:jc w:val="righ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effect</w:t>
            </w:r>
          </w:p>
        </w:tc>
        <w:tc>
          <w:tcPr>
            <w:tcW w:w="28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right"/>
              <w:rPr/>
            </w:pPr>
            <w:r>
              <w:rPr/>
              <w:t>​</w:t>
            </w:r>
          </w:p>
        </w:tc>
        <w:tc>
          <w:tcPr>
            <w:tcW w:w="1002"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righ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50"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32"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28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0"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attributable to the Company</w:t>
            </w:r>
          </w:p>
        </w:tc>
        <w:tc>
          <w:tcPr>
            <w:tcW w:w="28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286" w:type="dxa"/>
            <w:tcBorders/>
            <w:vAlign w:val="center"/>
          </w:tcPr>
          <w:p>
            <w:pPr>
              <w:pStyle w:val="TableContents"/>
              <w:bidi w:val="0"/>
              <w:spacing w:before="0" w:after="0"/>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3"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0"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32"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June 30, 2025</w:t>
            </w:r>
          </w:p>
        </w:tc>
        <w:tc>
          <w:tcPr>
            <w:tcW w:w="28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286" w:type="dxa"/>
            <w:tcBorders/>
            <w:shd w:fill="CCEEFF" w:val="clear"/>
            <w:vAlign w:val="center"/>
          </w:tcPr>
          <w:p>
            <w:pPr>
              <w:pStyle w:val="TableContents"/>
              <w:bidi w:val="0"/>
              <w:spacing w:before="0" w:after="0"/>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3"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50"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w:t>
            </w:r>
          </w:p>
        </w:tc>
        <w:tc>
          <w:tcPr>
            <w:tcW w:w="332"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is recorded to cost of goods sold and interest expense, net in the Condensed Consolidated Results of Operations (see Note 6 for additional information).</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Amount is included in the computation of net periodic pension cost (see Note 8 for additional information) and net post-retirement benefit cost.</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04" w:name="Tc_Zw3y8CywuUa0ptUTBDZ6xA_11_11"/>
      <w:bookmarkStart w:id="1605" w:name="Tc_QfV1RtBEAkmwR7IBsbLGwQ_11_8"/>
      <w:bookmarkStart w:id="1606" w:name="Tc_WBLb6__900GM70pQZldDRw_11_5"/>
      <w:bookmarkStart w:id="1607" w:name="Tc_3Q2fxkI5Y062vU67gSzOmA_11_2"/>
      <w:bookmarkStart w:id="1608" w:name="Tc_Umbu1AxMw0WZcvv8eS_HsA_11_0"/>
      <w:bookmarkStart w:id="1609" w:name="Tc_2sLtm0GL30itTyhkXKSaZg_10_0"/>
      <w:bookmarkStart w:id="1610" w:name="Tc_5Furwc74xUOtOQqhWtHjEQ_9_0"/>
      <w:bookmarkStart w:id="1611" w:name="Tc_I5_FIYFggUikOvQu6Di1zA_8_0"/>
      <w:bookmarkStart w:id="1612" w:name="Tc_ICWGEy3WPkGVs8t2d2sKLg_7_0"/>
      <w:bookmarkStart w:id="1613" w:name="Tc_cdnJsr0I9kmvfW_viFl5gw_6_0"/>
      <w:bookmarkStart w:id="1614" w:name="Tc_r8bOy1bOT0yBF1DH4jS_tQ_5_0"/>
      <w:bookmarkStart w:id="1615" w:name="Tc_kp8DQaOr0U6eM0hDFU9wdg_4_0"/>
      <w:bookmarkStart w:id="1616" w:name="Tc_u3Wc0vyZAUijw352_7gvPg_3_11"/>
      <w:bookmarkStart w:id="1617" w:name="Tc_LNDXCwmRjECC4lhP5-FKnw_3_8"/>
      <w:bookmarkStart w:id="1618" w:name="Tc_ZrZhAppoyEKQs28b4FyEhw_3_5"/>
      <w:bookmarkStart w:id="1619" w:name="Tc_ciHL_vk3xU-5-lcqPkN-CA_3_2"/>
      <w:bookmarkStart w:id="1620" w:name="Tc_p9g8ExCTEE-02dnLPArRXg_3_0"/>
      <w:bookmarkStart w:id="1621" w:name="Tc_MT2BD6r3H0izbtPsKCbIjA_2_11"/>
      <w:bookmarkStart w:id="1622" w:name="Tc_8as8oLsPbE2oTk2sw8Sk2A_2_8"/>
      <w:bookmarkStart w:id="1623" w:name="Tc_Pm5RUWKN20i_DKzxE8pNBw_2_5"/>
      <w:bookmarkStart w:id="1624" w:name="Tc_Qu3G9BSbnEKIqQ8G4_yi9Q_2_2"/>
      <w:bookmarkStart w:id="1625" w:name="Tc_jAC2FspjVEyMkAs_Er4sjQ_1_8"/>
      <w:bookmarkStart w:id="1626" w:name="Tc_zcl7ZW-NOEecSoxCuK9X1g_1_2"/>
      <w:bookmarkStart w:id="1627" w:name="_9aa29b03_d8ef_46e8_aa55_1f9a2e954e2e"/>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r>
        <w:rPr>
          <w:rFonts w:ascii="Times New Roman;Times;serif" w:hAnsi="Times New Roman;Times;serif"/>
          <w:b/>
          <w:sz w:val="20"/>
        </w:rPr>
        <w:t>14. Other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expense, net for the three and six months ended June 30, 2026 and 2025 included the following:</w:t>
      </w:r>
    </w:p>
    <w:p>
      <w:pPr>
        <w:pStyle w:val="TextBody"/>
        <w:bidi w:val="0"/>
        <w:spacing w:before="0" w:after="0"/>
        <w:ind w:left="0" w:right="0" w:hanging="0"/>
        <w:jc w:val="left"/>
        <w:rPr/>
      </w:pPr>
      <w:r>
        <w:rPr/>
        <w:t>​</w:t>
      </w:r>
    </w:p>
    <w:tbl>
      <w:tblPr>
        <w:tblW w:w="9300" w:type="dxa"/>
        <w:jc w:val="left"/>
        <w:tblInd w:w="0" w:type="dxa"/>
        <w:tblLayout w:type="fixed"/>
        <w:tblCellMar>
          <w:top w:w="0" w:type="dxa"/>
          <w:left w:w="0" w:type="dxa"/>
          <w:bottom w:w="0" w:type="dxa"/>
          <w:right w:w="0" w:type="dxa"/>
        </w:tblCellMar>
      </w:tblPr>
      <w:tblGrid>
        <w:gridCol w:w="4231"/>
        <w:gridCol w:w="346"/>
        <w:gridCol w:w="258"/>
        <w:gridCol w:w="662"/>
        <w:gridCol w:w="423"/>
        <w:gridCol w:w="258"/>
        <w:gridCol w:w="662"/>
        <w:gridCol w:w="346"/>
        <w:gridCol w:w="235"/>
        <w:gridCol w:w="604"/>
        <w:gridCol w:w="386"/>
        <w:gridCol w:w="235"/>
        <w:gridCol w:w="654"/>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686685" cy="175260"/>
                      <wp:effectExtent l="0" t="0" r="0" b="0"/>
                      <wp:wrapNone/>
                      <wp:docPr id="566" name="Frame565"/>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67" name="Frame5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63830" cy="175260"/>
                      <wp:effectExtent l="0" t="0" r="0" b="0"/>
                      <wp:wrapNone/>
                      <wp:docPr id="568" name="Frame56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20370" cy="175260"/>
                      <wp:effectExtent l="0" t="0" r="0" b="0"/>
                      <wp:wrapNone/>
                      <wp:docPr id="569" name="Frame568"/>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68605" cy="175260"/>
                      <wp:effectExtent l="0" t="0" r="0" b="0"/>
                      <wp:wrapNone/>
                      <wp:docPr id="570" name="Frame569"/>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63830" cy="175260"/>
                      <wp:effectExtent l="0" t="0" r="0" b="0"/>
                      <wp:wrapNone/>
                      <wp:docPr id="571" name="Frame57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20370" cy="175260"/>
                      <wp:effectExtent l="0" t="0" r="0" b="0"/>
                      <wp:wrapNone/>
                      <wp:docPr id="572" name="Frame571"/>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49225" cy="175260"/>
                      <wp:effectExtent l="0" t="0" r="0" b="0"/>
                      <wp:wrapNone/>
                      <wp:docPr id="574" name="Frame57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83540" cy="175260"/>
                      <wp:effectExtent l="0" t="0" r="0" b="0"/>
                      <wp:wrapNone/>
                      <wp:docPr id="575" name="Frame574"/>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45110" cy="175260"/>
                      <wp:effectExtent l="0" t="0" r="0" b="0"/>
                      <wp:wrapNone/>
                      <wp:docPr id="576" name="Frame57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49225" cy="175260"/>
                      <wp:effectExtent l="0" t="0" r="0" b="0"/>
                      <wp:wrapNone/>
                      <wp:docPr id="577" name="Frame57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415290" cy="175260"/>
                      <wp:effectExtent l="0" t="0" r="0" b="0"/>
                      <wp:wrapNone/>
                      <wp:docPr id="578" name="Frame577"/>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346" w:type="dxa"/>
            <w:tcBorders/>
            <w:vAlign w:val="center"/>
          </w:tcPr>
          <w:p>
            <w:pPr>
              <w:pStyle w:val="TableContents"/>
              <w:bidi w:val="0"/>
              <w:spacing w:before="0" w:after="0"/>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3" w:type="dxa"/>
            <w:tcBorders/>
            <w:vAlign w:val="center"/>
          </w:tcPr>
          <w:p>
            <w:pPr>
              <w:pStyle w:val="TableContents"/>
              <w:bidi w:val="0"/>
              <w:spacing w:before="0" w:after="0"/>
              <w:ind w:left="0" w:right="0" w:hanging="0"/>
              <w:jc w:val="center"/>
              <w:rPr/>
            </w:pPr>
            <w:r>
              <w:rPr/>
              <w:t>  ​ ​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6" w:type="dxa"/>
            <w:tcBorders/>
            <w:vAlign w:val="center"/>
          </w:tcPr>
          <w:p>
            <w:pPr>
              <w:pStyle w:val="TableContents"/>
              <w:bidi w:val="0"/>
              <w:spacing w:before="0" w:after="0"/>
              <w:ind w:left="0" w:right="0" w:hanging="0"/>
              <w:jc w:val="center"/>
              <w:rPr/>
            </w:pPr>
            <w:r>
              <w:rPr/>
              <w:t>  ​ ​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 (see Note 5)</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8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Restructuring, asset impairment and other charges </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23"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8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 of joint venture and misc.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8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Legacy environmental charge (see Note 11)</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8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loss</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23"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8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23"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8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38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the first six months of 2026, the Company recorded pre-tax losses of approximately $44 million, primarily related to the sale of its share of a joint venture in the former Asia Pacific region. In the first six months of 2025, the Company recorded pre-tax gains of approximately $6 million on the sale of land and buildings of a previously closed plant in the Americas.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28" w:name="Tc_f_-VxyPsekSDEEiTM6si2A_13_5"/>
      <w:bookmarkStart w:id="1629" w:name="Tc_v3cAq257Mk-VvLNRBkuPcQ_13_2"/>
      <w:bookmarkStart w:id="1630" w:name="Tc_Yh1vnGCZt0mNhbM23J_ltg_13_0"/>
      <w:bookmarkStart w:id="1631" w:name="Tc_SqylSyfWB0yB7l2PvKN9zw_12_0"/>
      <w:bookmarkStart w:id="1632" w:name="Tc_MNiHyMrNBUSk_epvGEhxDg_11_5"/>
      <w:bookmarkStart w:id="1633" w:name="Tc_tDemnFAV-0WwjFEDRhanLg_11_2"/>
      <w:bookmarkStart w:id="1634" w:name="Tc_QUOOx8hFCki65ceONiGZnA_11_0"/>
      <w:bookmarkStart w:id="1635" w:name="Tc_uiYPCL59GECM5oH6xJ4KTQ_10_0"/>
      <w:bookmarkStart w:id="1636" w:name="Tc_apmkQJOwLka8zgv8wpfUMQ_9_0"/>
      <w:bookmarkStart w:id="1637" w:name="Tc_S4eHst6H20SLZ-LoZ-dodw_8_0"/>
      <w:bookmarkStart w:id="1638" w:name="Tc_1AE10rhjeEWwHz3QxumYEw_7_0"/>
      <w:bookmarkStart w:id="1639" w:name="Tc_AMUpB8NN2kOeHybp_MrrYA_6_0"/>
      <w:bookmarkStart w:id="1640" w:name="Tc_7C-wmzzg4UmgPdZXZrKdsw_5_0"/>
      <w:bookmarkStart w:id="1641" w:name="Tc_ACafD8kVeU6KdpuR__B67w_4_5"/>
      <w:bookmarkStart w:id="1642" w:name="Tc_KD7LXU3Crkyfjhm9PoIIag_4_2"/>
      <w:bookmarkStart w:id="1643" w:name="Tc_xMTrrrA0mUejsKzLEZjfFQ_4_0"/>
      <w:bookmarkStart w:id="1644" w:name="Tc_btdCfztmfkqx40ByIH9CNA_3_0"/>
      <w:bookmarkStart w:id="1645" w:name="Tc_otXA1s6C-EalXhoHPCkFmA_2_5"/>
      <w:bookmarkStart w:id="1646" w:name="Tc_-NO7XjCjhU63sd6DCSi09A_2_2"/>
      <w:bookmarkStart w:id="1647" w:name="Tc_xMnCJNSR8EG5T9Qf9vhGpw_1_2"/>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r>
        <w:rPr>
          <w:rFonts w:ascii="Times New Roman;Times;serif" w:hAnsi="Times New Roman;Times;serif"/>
          <w:b/>
          <w:sz w:val="20"/>
        </w:rPr>
        <w:t>15. Earnings (Loss)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computation of basic and diluted loss per share for the three months ended June 30, 2026 and 2025:</w:t>
      </w:r>
    </w:p>
    <w:p>
      <w:pPr>
        <w:pStyle w:val="TextBody"/>
        <w:bidi w:val="0"/>
        <w:spacing w:before="0" w:after="0"/>
        <w:ind w:left="0" w:right="0" w:hanging="0"/>
        <w:jc w:val="left"/>
        <w:rPr/>
      </w:pPr>
      <w:r>
        <w:rPr/>
        <w:t>​</w:t>
      </w:r>
    </w:p>
    <w:tbl>
      <w:tblPr>
        <w:tblW w:w="10087" w:type="dxa"/>
        <w:jc w:val="left"/>
        <w:tblInd w:w="0" w:type="dxa"/>
        <w:tblLayout w:type="fixed"/>
        <w:tblCellMar>
          <w:top w:w="0" w:type="dxa"/>
          <w:left w:w="0" w:type="dxa"/>
          <w:bottom w:w="0" w:type="dxa"/>
          <w:right w:w="0" w:type="dxa"/>
        </w:tblCellMar>
      </w:tblPr>
      <w:tblGrid>
        <w:gridCol w:w="7366"/>
        <w:gridCol w:w="346"/>
        <w:gridCol w:w="211"/>
        <w:gridCol w:w="781"/>
        <w:gridCol w:w="346"/>
        <w:gridCol w:w="211"/>
        <w:gridCol w:w="826"/>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677410" cy="175895"/>
                      <wp:effectExtent l="0" t="0" r="0" b="0"/>
                      <wp:wrapNone/>
                      <wp:docPr id="579" name="Frame578"/>
                      <a:graphic xmlns:a="http://schemas.openxmlformats.org/drawingml/2006/main">
                        <a:graphicData uri="http://schemas.microsoft.com/office/word/2010/wordprocessingShape">
                          <wps:wsp>
                            <wps:cNvSpPr txBox="1"/>
                            <wps:spPr>
                              <a:xfrm>
                                <a:off x="0" y="0"/>
                                <a:ext cx="46774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895"/>
                      <wp:effectExtent l="0" t="0" r="0" b="0"/>
                      <wp:wrapNone/>
                      <wp:docPr id="580" name="Frame57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3985" cy="175895"/>
                      <wp:effectExtent l="0" t="0" r="0" b="0"/>
                      <wp:wrapNone/>
                      <wp:docPr id="581" name="Frame58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495935" cy="175895"/>
                      <wp:effectExtent l="0" t="0" r="0" b="0"/>
                      <wp:wrapNone/>
                      <wp:docPr id="582" name="Frame581"/>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9710" cy="175895"/>
                      <wp:effectExtent l="0" t="0" r="0" b="0"/>
                      <wp:wrapNone/>
                      <wp:docPr id="583" name="Frame58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33985" cy="175895"/>
                      <wp:effectExtent l="0" t="0" r="0" b="0"/>
                      <wp:wrapNone/>
                      <wp:docPr id="584" name="Frame58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524510" cy="175895"/>
                      <wp:effectExtent l="0" t="0" r="0" b="0"/>
                      <wp:wrapNone/>
                      <wp:docPr id="585" name="Frame584"/>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r>
      <w:tr>
        <w:trPr/>
        <w:tc>
          <w:tcPr>
            <w:tcW w:w="736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1" w:after="0"/>
              <w:ind w:left="0" w:right="0" w:hanging="0"/>
              <w:jc w:val="left"/>
              <w:rPr/>
            </w:pPr>
            <w:r>
              <w:rPr/>
              <w:t> </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  ​ ​ ​</w:t>
            </w:r>
          </w:p>
        </w:tc>
        <w:tc>
          <w:tcPr>
            <w:tcW w:w="346" w:type="dxa"/>
            <w:tcBorders/>
            <w:shd w:fill="CCEEFF" w:val="clear"/>
            <w:vAlign w:val="center"/>
          </w:tcPr>
          <w:p>
            <w:pPr>
              <w:pStyle w:val="TableContents"/>
              <w:bidi w:val="0"/>
              <w:spacing w:before="1" w:after="0"/>
              <w:ind w:left="0" w:right="0" w:hanging="0"/>
              <w:jc w:val="left"/>
              <w:rPr/>
            </w:pPr>
            <w:r>
              <w:rPr/>
              <w:t> </w:t>
            </w:r>
          </w:p>
        </w:tc>
        <w:tc>
          <w:tcPr>
            <w:tcW w:w="211" w:type="dxa"/>
            <w:tcBorders/>
            <w:shd w:fill="CCEEFF" w:val="clear"/>
            <w:vAlign w:val="center"/>
          </w:tcPr>
          <w:p>
            <w:pPr>
              <w:pStyle w:val="TableContents"/>
              <w:bidi w:val="0"/>
              <w:spacing w:before="1" w:after="0"/>
              <w:ind w:left="0" w:right="0" w:hanging="0"/>
              <w:jc w:val="left"/>
              <w:rPr/>
            </w:pPr>
            <w:r>
              <w:rPr/>
              <w:t>​</w:t>
            </w:r>
          </w:p>
        </w:tc>
        <w:tc>
          <w:tcPr>
            <w:tcW w:w="826" w:type="dxa"/>
            <w:tcBorders/>
            <w:shd w:fill="CCEEFF" w:val="clear"/>
            <w:vAlign w:val="center"/>
          </w:tcPr>
          <w:p>
            <w:pPr>
              <w:pStyle w:val="TableContents"/>
              <w:bidi w:val="0"/>
              <w:spacing w:before="1" w:after="0"/>
              <w:ind w:left="0" w:right="0" w:hanging="0"/>
              <w:jc w:val="left"/>
              <w:rPr/>
            </w:pPr>
            <w:r>
              <w:rPr/>
              <w:t>  ​ ​ ​</w:t>
            </w:r>
          </w:p>
        </w:tc>
      </w:tr>
      <w:tr>
        <w:trPr/>
        <w:tc>
          <w:tcPr>
            <w:tcW w:w="73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Denominator (in thousands):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826" w:type="dxa"/>
            <w:tcBorders/>
            <w:shd w:fill="CCEEFF" w:val="clear"/>
            <w:vAlign w:val="center"/>
          </w:tcPr>
          <w:p>
            <w:pPr>
              <w:pStyle w:val="TableContents"/>
              <w:bidi w:val="0"/>
              <w:spacing w:before="1" w:after="0"/>
              <w:ind w:left="0" w:right="0" w:hanging="0"/>
              <w:jc w:val="left"/>
              <w:rPr/>
            </w:pPr>
            <w:r>
              <w:rPr/>
              <w:t>​</w:t>
            </w:r>
          </w:p>
        </w:tc>
      </w:tr>
      <w:tr>
        <w:trPr/>
        <w:tc>
          <w:tcPr>
            <w:tcW w:w="73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Denominator for basic earnings per share-weighted average shares outstanding</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 </w:t>
            </w:r>
          </w:p>
        </w:tc>
        <w:tc>
          <w:tcPr>
            <w:tcW w:w="7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153,498</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w:t>
            </w:r>
          </w:p>
        </w:tc>
        <w:tc>
          <w:tcPr>
            <w:tcW w:w="82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153,993</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826" w:type="dxa"/>
            <w:tcBorders/>
            <w:shd w:fill="CCEEFF" w:val="clear"/>
            <w:vAlign w:val="center"/>
          </w:tcPr>
          <w:p>
            <w:pPr>
              <w:pStyle w:val="TableContents"/>
              <w:bidi w:val="0"/>
              <w:spacing w:before="1" w:after="0"/>
              <w:ind w:left="0" w:right="0" w:hanging="0"/>
              <w:jc w:val="left"/>
              <w:rPr/>
            </w:pPr>
            <w:r>
              <w:rPr/>
              <w:t>​</w:t>
            </w:r>
          </w:p>
        </w:tc>
      </w:tr>
      <w:tr>
        <w:trPr/>
        <w:tc>
          <w:tcPr>
            <w:tcW w:w="73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Stock options and other</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Denominator for diluted earnings per share-adjusted weighted average shares outstanding</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153,498</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153,993</w:t>
            </w:r>
          </w:p>
        </w:tc>
      </w:tr>
      <w:tr>
        <w:trPr/>
        <w:tc>
          <w:tcPr>
            <w:tcW w:w="73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826" w:type="dxa"/>
            <w:tcBorders/>
            <w:vAlign w:val="center"/>
          </w:tcPr>
          <w:p>
            <w:pPr>
              <w:pStyle w:val="TableContents"/>
              <w:bidi w:val="0"/>
              <w:spacing w:before="1" w:after="0"/>
              <w:ind w:left="0" w:right="0" w:hanging="0"/>
              <w:jc w:val="left"/>
              <w:rPr/>
            </w:pPr>
            <w:r>
              <w:rPr/>
              <w:t>​</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(0.03)</w:t>
            </w:r>
          </w:p>
        </w:tc>
      </w:tr>
      <w:tr>
        <w:trPr/>
        <w:tc>
          <w:tcPr>
            <w:tcW w:w="73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Diluted loss per share:</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826" w:type="dxa"/>
            <w:tcBorders/>
            <w:vAlign w:val="center"/>
          </w:tcPr>
          <w:p>
            <w:pPr>
              <w:pStyle w:val="TableContents"/>
              <w:bidi w:val="0"/>
              <w:spacing w:before="1" w:after="0"/>
              <w:ind w:left="0" w:right="0" w:hanging="0"/>
              <w:jc w:val="left"/>
              <w:rPr/>
            </w:pPr>
            <w:r>
              <w:rPr/>
              <w:t>​</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(0.03)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diluted loss per share computation for the three months ended June 30, 2026 and 2025 excludes 1,721,046 and 371,732 weighted average shares of common stock, respectively, due to their antidilutive effect, which includes unvested restricted stock units and performance vested restricted share units. </w:t>
      </w:r>
      <w:r>
        <w:rPr>
          <w:rFonts w:ascii="Times New Roman;Times;serif" w:hAnsi="Times New Roman;Times;serif"/>
          <w:color w:val="212529"/>
          <w:sz w:val="20"/>
        </w:rPr>
        <w:t>For the three months ended June 30, 2026 and 2025, diluted loss per share of common stock was equal to basic loss per share of common stock due to the net loss attributable to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firstLine="360"/>
        <w:jc w:val="left"/>
        <w:rPr>
          <w:rFonts w:ascii="Times New Roman;Times;serif" w:hAnsi="Times New Roman;Times;serif"/>
          <w:sz w:val="20"/>
        </w:rPr>
      </w:pPr>
      <w:bookmarkStart w:id="1648" w:name="Tc_Vrp4YAF4Vkuumg1SS2DB8g_13_5"/>
      <w:bookmarkStart w:id="1649" w:name="Tc_VSxcI7dY9EmbyrOTiIrdwg_13_2"/>
      <w:bookmarkStart w:id="1650" w:name="Tc_jyHs7OCyV0mlOc6vN3Dqig_13_0"/>
      <w:bookmarkStart w:id="1651" w:name="Tc_6d-BDfOQekWZ1cvX6JSxrw_12_0"/>
      <w:bookmarkStart w:id="1652" w:name="Tc_iW3BL8_pXE-iAc-lDWvAZw_11_5"/>
      <w:bookmarkStart w:id="1653" w:name="Tc_Ua-tu2lTbUWPp8_LO1wDAQ_11_2"/>
      <w:bookmarkStart w:id="1654" w:name="Tc_GXlsuS96O0-tP8eo_MN2CA_11_0"/>
      <w:bookmarkStart w:id="1655" w:name="Tc_0mCQxPg5-0eN54RrMYZixg_10_0"/>
      <w:bookmarkStart w:id="1656" w:name="Tc_scmWPEHS102nFRKhHC8tXw_9_0"/>
      <w:bookmarkStart w:id="1657" w:name="Tc_KcQ32zQFB0W-XX3_dbt6ig_8_0"/>
      <w:bookmarkStart w:id="1658" w:name="Tc_BXKfRvNFtUGa9YIRV9yhWA_7_0"/>
      <w:bookmarkStart w:id="1659" w:name="Tc_NUKaV1PPY0yg2Lj6FFtdsQ_6_0"/>
      <w:bookmarkStart w:id="1660" w:name="Tc_xjzGmWb7wUqwoi_BAjcx4A_5_0"/>
      <w:bookmarkStart w:id="1661" w:name="Tc_1mH7UGplqESquAIRP_GZJQ_4_5"/>
      <w:bookmarkStart w:id="1662" w:name="Tc_WTkT9yVAlkOhSega9iU5yg_4_2"/>
      <w:bookmarkStart w:id="1663" w:name="Tc_H195lSPYEUWGjl-TGiIggg_4_0"/>
      <w:bookmarkStart w:id="1664" w:name="Tc_q36DhkWVcUqxoi9iKfLiqQ_3_0"/>
      <w:bookmarkStart w:id="1665" w:name="Tc_m-CqI-EbIkqJBul_Rl-oiQ_2_5"/>
      <w:bookmarkStart w:id="1666" w:name="Tc_s6YmVm-7OEiH_RkiGk4zwQ_2_2"/>
      <w:bookmarkStart w:id="1667" w:name="Tc_yOjOCQ4dMkGv23EZ11XAAw_1_2"/>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r>
        <w:rPr>
          <w:rFonts w:ascii="Times New Roman;Times;serif" w:hAnsi="Times New Roman;Times;serif"/>
          <w:sz w:val="20"/>
        </w:rPr>
        <w:t>The following table sets forth the computation of basic and diluted loss per share for the six months ended June 30, 2026 and 2025:</w:t>
      </w:r>
    </w:p>
    <w:p>
      <w:pPr>
        <w:pStyle w:val="TextBody"/>
        <w:bidi w:val="0"/>
        <w:spacing w:before="0" w:after="0"/>
        <w:ind w:left="0" w:right="0" w:hanging="0"/>
        <w:jc w:val="left"/>
        <w:rPr/>
      </w:pPr>
      <w:r>
        <w:rPr/>
        <w:t>​</w:t>
      </w:r>
    </w:p>
    <w:tbl>
      <w:tblPr>
        <w:tblW w:w="10087" w:type="dxa"/>
        <w:jc w:val="left"/>
        <w:tblInd w:w="0" w:type="dxa"/>
        <w:tblLayout w:type="fixed"/>
        <w:tblCellMar>
          <w:top w:w="0" w:type="dxa"/>
          <w:left w:w="0" w:type="dxa"/>
          <w:bottom w:w="0" w:type="dxa"/>
          <w:right w:w="0" w:type="dxa"/>
        </w:tblCellMar>
      </w:tblPr>
      <w:tblGrid>
        <w:gridCol w:w="7366"/>
        <w:gridCol w:w="346"/>
        <w:gridCol w:w="211"/>
        <w:gridCol w:w="781"/>
        <w:gridCol w:w="346"/>
        <w:gridCol w:w="211"/>
        <w:gridCol w:w="826"/>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4677410" cy="175895"/>
                      <wp:effectExtent l="0" t="0" r="0" b="0"/>
                      <wp:wrapNone/>
                      <wp:docPr id="586" name="Frame585"/>
                      <a:graphic xmlns:a="http://schemas.openxmlformats.org/drawingml/2006/main">
                        <a:graphicData uri="http://schemas.microsoft.com/office/word/2010/wordprocessingShape">
                          <wps:wsp>
                            <wps:cNvSpPr txBox="1"/>
                            <wps:spPr>
                              <a:xfrm>
                                <a:off x="0" y="0"/>
                                <a:ext cx="46774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895"/>
                      <wp:effectExtent l="0" t="0" r="0" b="0"/>
                      <wp:wrapNone/>
                      <wp:docPr id="587" name="Frame58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3985" cy="175895"/>
                      <wp:effectExtent l="0" t="0" r="0" b="0"/>
                      <wp:wrapNone/>
                      <wp:docPr id="588" name="Frame58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95935" cy="175895"/>
                      <wp:effectExtent l="0" t="0" r="0" b="0"/>
                      <wp:wrapNone/>
                      <wp:docPr id="589" name="Frame588"/>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895"/>
                      <wp:effectExtent l="0" t="0" r="0" b="0"/>
                      <wp:wrapNone/>
                      <wp:docPr id="590" name="Frame58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33985" cy="175895"/>
                      <wp:effectExtent l="0" t="0" r="0" b="0"/>
                      <wp:wrapNone/>
                      <wp:docPr id="591" name="Frame59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524510" cy="175895"/>
                      <wp:effectExtent l="0" t="0" r="0" b="0"/>
                      <wp:wrapNone/>
                      <wp:docPr id="592" name="Frame591"/>
                      <a:graphic xmlns:a="http://schemas.openxmlformats.org/drawingml/2006/main">
                        <a:graphicData uri="http://schemas.microsoft.com/office/word/2010/wordprocessingShape">
                          <wps:wsp>
                            <wps:cNvSpPr txBox="1"/>
                            <wps:spPr>
                              <a:xfrm>
                                <a:off x="0" y="0"/>
                                <a:ext cx="5245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736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1"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1" w:after="0"/>
              <w:ind w:left="0" w:right="0" w:hanging="0"/>
              <w:jc w:val="left"/>
              <w:rPr/>
            </w:pPr>
            <w:r>
              <w:rPr/>
              <w:t> </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 </w:t>
            </w:r>
          </w:p>
        </w:tc>
        <w:tc>
          <w:tcPr>
            <w:tcW w:w="211" w:type="dxa"/>
            <w:tcBorders/>
            <w:shd w:fill="CCEEFF" w:val="clear"/>
            <w:vAlign w:val="center"/>
          </w:tcPr>
          <w:p>
            <w:pPr>
              <w:pStyle w:val="TableContents"/>
              <w:bidi w:val="0"/>
              <w:spacing w:before="1" w:after="0"/>
              <w:ind w:left="0" w:right="0" w:hanging="0"/>
              <w:jc w:val="left"/>
              <w:rPr/>
            </w:pPr>
            <w:r>
              <w:rPr/>
              <w:t>​</w:t>
            </w:r>
          </w:p>
        </w:tc>
        <w:tc>
          <w:tcPr>
            <w:tcW w:w="826" w:type="dxa"/>
            <w:tcBorders/>
            <w:shd w:fill="CCEEFF" w:val="clear"/>
            <w:vAlign w:val="center"/>
          </w:tcPr>
          <w:p>
            <w:pPr>
              <w:pStyle w:val="TableContents"/>
              <w:bidi w:val="0"/>
              <w:spacing w:before="1" w:after="0"/>
              <w:ind w:left="0" w:right="0" w:hanging="0"/>
              <w:jc w:val="left"/>
              <w:rPr/>
            </w:pPr>
            <w:r>
              <w:rPr/>
              <w:t>  ​ ​ ​</w:t>
            </w:r>
          </w:p>
        </w:tc>
      </w:tr>
      <w:tr>
        <w:trPr/>
        <w:tc>
          <w:tcPr>
            <w:tcW w:w="73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Denominator (in thousands):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826" w:type="dxa"/>
            <w:tcBorders/>
            <w:shd w:fill="CCEEFF" w:val="clear"/>
            <w:vAlign w:val="center"/>
          </w:tcPr>
          <w:p>
            <w:pPr>
              <w:pStyle w:val="TableContents"/>
              <w:bidi w:val="0"/>
              <w:spacing w:before="1" w:after="0"/>
              <w:ind w:left="0" w:right="0" w:hanging="0"/>
              <w:jc w:val="left"/>
              <w:rPr/>
            </w:pPr>
            <w:r>
              <w:rPr/>
              <w:t>​</w:t>
            </w:r>
          </w:p>
        </w:tc>
      </w:tr>
      <w:tr>
        <w:trPr/>
        <w:tc>
          <w:tcPr>
            <w:tcW w:w="73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Denominator for basic earnings per share-weighted average shares outstanding</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 </w:t>
            </w:r>
          </w:p>
        </w:tc>
        <w:tc>
          <w:tcPr>
            <w:tcW w:w="781"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153,093</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 </w:t>
            </w:r>
          </w:p>
        </w:tc>
        <w:tc>
          <w:tcPr>
            <w:tcW w:w="82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153,851</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781"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826" w:type="dxa"/>
            <w:tcBorders/>
            <w:shd w:fill="CCEEFF" w:val="clear"/>
            <w:vAlign w:val="center"/>
          </w:tcPr>
          <w:p>
            <w:pPr>
              <w:pStyle w:val="TableContents"/>
              <w:bidi w:val="0"/>
              <w:spacing w:before="1" w:after="0"/>
              <w:ind w:left="0" w:right="0" w:hanging="0"/>
              <w:jc w:val="left"/>
              <w:rPr/>
            </w:pPr>
            <w:r>
              <w:rPr/>
              <w:t>​</w:t>
            </w:r>
          </w:p>
        </w:tc>
      </w:tr>
      <w:tr>
        <w:trPr/>
        <w:tc>
          <w:tcPr>
            <w:tcW w:w="73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Stock options and other</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Denominator for diluted earnings per share-adjusted weighted average shares outstanding</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153,093</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153,851</w:t>
            </w:r>
          </w:p>
        </w:tc>
      </w:tr>
      <w:tr>
        <w:trPr/>
        <w:tc>
          <w:tcPr>
            <w:tcW w:w="73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826" w:type="dxa"/>
            <w:tcBorders/>
            <w:vAlign w:val="center"/>
          </w:tcPr>
          <w:p>
            <w:pPr>
              <w:pStyle w:val="TableContents"/>
              <w:bidi w:val="0"/>
              <w:spacing w:before="1" w:after="0"/>
              <w:ind w:left="0" w:right="0" w:hanging="0"/>
              <w:jc w:val="left"/>
              <w:rPr/>
            </w:pPr>
            <w:r>
              <w:rPr/>
              <w:t>​</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736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Diluted loss per share:</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781"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826" w:type="dxa"/>
            <w:tcBorders/>
            <w:vAlign w:val="center"/>
          </w:tcPr>
          <w:p>
            <w:pPr>
              <w:pStyle w:val="TableContents"/>
              <w:bidi w:val="0"/>
              <w:spacing w:before="1" w:after="0"/>
              <w:ind w:left="0" w:right="0" w:hanging="0"/>
              <w:jc w:val="left"/>
              <w:rPr/>
            </w:pPr>
            <w:r>
              <w:rPr/>
              <w:t>​</w:t>
            </w:r>
          </w:p>
        </w:tc>
      </w:tr>
      <w:tr>
        <w:trPr/>
        <w:tc>
          <w:tcPr>
            <w:tcW w:w="736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(0.13)</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diluted loss per share computation for the six months ended June 30, 2026 and 2025 excludes 1,121,653 and 537,764 weighted average shares of common stock, respectively, due to their antidilutive effect, which includes unvested restricted stock units and performance vested restricted share units. </w:t>
      </w:r>
      <w:r>
        <w:rPr>
          <w:rFonts w:ascii="Times New Roman;Times;serif" w:hAnsi="Times New Roman;Times;serif"/>
          <w:color w:val="212529"/>
          <w:sz w:val="20"/>
        </w:rPr>
        <w:t>For the six months ended June 30, 2026 and 2025, diluted loss per share of common stock was equal to basic loss per share of common stock due to the net loss attributable to the Company.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68" w:name="Tc_FpbDmG7QEE6237z7m8g2ug_5_5"/>
      <w:bookmarkStart w:id="1669" w:name="Tc_vtuWHQyRDEC57MlQWW0GyQ_5_2"/>
      <w:bookmarkStart w:id="1670" w:name="Tc_fNZ_QCjLV02NZsnEY_uUtQ_5_0"/>
      <w:bookmarkStart w:id="1671" w:name="Tc_SDW5zLGgr0ypHsbsDtJxew_4_0"/>
      <w:bookmarkStart w:id="1672" w:name="Tc_AXSaGdqJ8UuvGSc9BErizg_3_5"/>
      <w:bookmarkStart w:id="1673" w:name="Tc_eUpswUeEKEeMF_8BC3TR7w_3_2"/>
      <w:bookmarkStart w:id="1674" w:name="Tc_GbQaKUD3lU-L9kD6L6syTA_3_0"/>
      <w:bookmarkStart w:id="1675" w:name="Tc_pvOfokuUE0SfBnLEsgIzUw_2_5"/>
      <w:bookmarkStart w:id="1676" w:name="Tc_tVhCqHQgCEmvyfjjjzstCQ_2_2"/>
      <w:bookmarkStart w:id="1677" w:name="Tc_gFfr1vMgIUGf1PYfGNzNvw_1_2"/>
      <w:bookmarkEnd w:id="1668"/>
      <w:bookmarkEnd w:id="1669"/>
      <w:bookmarkEnd w:id="1670"/>
      <w:bookmarkEnd w:id="1671"/>
      <w:bookmarkEnd w:id="1672"/>
      <w:bookmarkEnd w:id="1673"/>
      <w:bookmarkEnd w:id="1674"/>
      <w:bookmarkEnd w:id="1675"/>
      <w:bookmarkEnd w:id="1676"/>
      <w:bookmarkEnd w:id="1677"/>
      <w:r>
        <w:rPr>
          <w:rFonts w:ascii="Times New Roman;Times;serif" w:hAnsi="Times New Roman;Times;serif"/>
          <w:b/>
          <w:sz w:val="20"/>
        </w:rPr>
        <w:t>16. Supplemental Cash Flow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taxes paid in cash were as follows:</w:t>
      </w:r>
    </w:p>
    <w:p>
      <w:pPr>
        <w:pStyle w:val="TextBody"/>
        <w:bidi w:val="0"/>
        <w:spacing w:before="0" w:after="0"/>
        <w:ind w:left="0" w:right="0" w:hanging="0"/>
        <w:jc w:val="left"/>
        <w:rPr/>
      </w:pPr>
      <w:r>
        <w:rPr/>
        <w:t>​</w:t>
      </w:r>
    </w:p>
    <w:tbl>
      <w:tblPr>
        <w:tblW w:w="5292" w:type="dxa"/>
        <w:jc w:val="left"/>
        <w:tblInd w:w="0" w:type="dxa"/>
        <w:tblLayout w:type="fixed"/>
        <w:tblCellMar>
          <w:top w:w="0" w:type="dxa"/>
          <w:left w:w="0" w:type="dxa"/>
          <w:bottom w:w="0" w:type="dxa"/>
          <w:right w:w="0" w:type="dxa"/>
        </w:tblCellMar>
      </w:tblPr>
      <w:tblGrid>
        <w:gridCol w:w="2686"/>
        <w:gridCol w:w="346"/>
        <w:gridCol w:w="312"/>
        <w:gridCol w:w="467"/>
        <w:gridCol w:w="511"/>
        <w:gridCol w:w="312"/>
        <w:gridCol w:w="467"/>
        <w:gridCol w:w="19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705610" cy="175260"/>
                      <wp:effectExtent l="0" t="0" r="0" b="0"/>
                      <wp:wrapNone/>
                      <wp:docPr id="593" name="Frame592"/>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94"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98120" cy="175260"/>
                      <wp:effectExtent l="0" t="0" r="0" b="0"/>
                      <wp:wrapNone/>
                      <wp:docPr id="595" name="Frame594"/>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96545" cy="175260"/>
                      <wp:effectExtent l="0" t="0" r="0" b="0"/>
                      <wp:wrapNone/>
                      <wp:docPr id="596" name="Frame595"/>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324485" cy="175260"/>
                      <wp:effectExtent l="0" t="0" r="0" b="0"/>
                      <wp:wrapNone/>
                      <wp:docPr id="597" name="Frame59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98120" cy="175260"/>
                      <wp:effectExtent l="0" t="0" r="0" b="0"/>
                      <wp:wrapNone/>
                      <wp:docPr id="598" name="Frame597"/>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96545" cy="175260"/>
                      <wp:effectExtent l="0" t="0" r="0" b="0"/>
                      <wp:wrapNone/>
                      <wp:docPr id="599" name="Frame598"/>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21285" cy="175260"/>
                      <wp:effectExtent l="0" t="0" r="0" b="0"/>
                      <wp:wrapNone/>
                      <wp:docPr id="600" name="Frame59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11" w:type="dxa"/>
            <w:tcBorders/>
            <w:vAlign w:val="center"/>
          </w:tcPr>
          <w:p>
            <w:pPr>
              <w:pStyle w:val="TableContents"/>
              <w:bidi w:val="0"/>
              <w:spacing w:before="0" w:after="0"/>
              <w:ind w:left="0" w:right="0" w:hanging="0"/>
              <w:jc w:val="center"/>
              <w:rPr/>
            </w:pPr>
            <w:r>
              <w:rPr/>
              <w:t>  ​ ​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511"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511"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91"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taxes paid in cash</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511"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paid in cash for the six months ended June 30, 2026 and 2025 was $173 million and $178 million,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uses various factoring programs to sell certain trade receivables to financial institutions as part of managing its cash flows. Sales of trade receivables are accounted for in accordance with ASC Topic 860, Transfers and Servicing.  Trade receivables sold under the factoring programs are transferred without recourse to the Company and accounted for as true sales and, therefore, are excluded from Trade receivables, net in the Condensed Consolidated Balance Sheets. At June 30, 2026, December 31, 2025 and June 30, 2025, the total amount of trade receivables sold by the Company was $496 million, $531 million, and $544 million, respectively. These amounts included $192 million, $159 million and $201 million at June 30, 2026, December 31, 2025, and June 30, 2025, respectively, for trade receivable amounts factored under supply-chain financing programs linked to commercial arrangements with key customers. The Company is the master servicer for the factoring programs that are not associated with key customers and is responsible for administering and collecting receivables.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use of its accounts receivable factoring programs resulted in an increase to cash utilized in operating activities of approximately $35 million and a decrease of $9 million for the six months ended June 30, 2026 and June 30, 2025, respectively. For the six months ended June 30, 2026 and 2025, the Company recorded expenses related to these factoring programs of approximately $8 million and $9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firstLine="360"/>
        <w:jc w:val="left"/>
        <w:rPr>
          <w:rFonts w:ascii="Times New Roman;Times;serif" w:hAnsi="Times New Roman;Times;serif"/>
          <w:sz w:val="20"/>
        </w:rPr>
      </w:pPr>
      <w:bookmarkStart w:id="1678" w:name="Tc_k-AO3zvCs0-bS0Y5pYr0UA_6_11"/>
      <w:bookmarkStart w:id="1679" w:name="Tc_kr_XBh05qkimCyMgTkQU7g_6_8"/>
      <w:bookmarkStart w:id="1680" w:name="Tc_8ERoDu1HakKKaWLP3AvMtA_6_5"/>
      <w:bookmarkStart w:id="1681" w:name="Tc_JUQumWR84EGtFEm6VNzJtQ_6_2"/>
      <w:bookmarkStart w:id="1682" w:name="Tc_AyNvuegbVE6ISwMHk0L-YQ_6_0"/>
      <w:bookmarkStart w:id="1683" w:name="Tc_F0mb2_hmFkacUAn8U7eO5A_5_0"/>
      <w:bookmarkStart w:id="1684" w:name="Tc_5SPuit2e2E-pkSBn70Eeow_4_0"/>
      <w:bookmarkStart w:id="1685" w:name="Tc_rChqfBbxXE6MTd6SdA82jQ_3_11"/>
      <w:bookmarkStart w:id="1686" w:name="Tc_LrfVrCIztkaNBg6i-Pf5xA_3_8"/>
      <w:bookmarkStart w:id="1687" w:name="Tc_e-V45ZtyhEindT93JE-EFg_3_5"/>
      <w:bookmarkStart w:id="1688" w:name="Tc_nTbulVRkzE-jhPhM7Lb75A_3_2"/>
      <w:bookmarkStart w:id="1689" w:name="Tc_7ue4qcf6WkynH30ol7edPA_3_0"/>
      <w:bookmarkStart w:id="1690" w:name="Tc_kk-HiP4jQ0yWfUQvPUYV7g_2_11"/>
      <w:bookmarkStart w:id="1691" w:name="Tc_YaiFFRAUNEqQ0jGRkny0Tw_2_8"/>
      <w:bookmarkStart w:id="1692" w:name="Tc_5qo6GaL4XUyuT4pEamQ1TA_2_5"/>
      <w:bookmarkStart w:id="1693" w:name="Tc_n1dcmywiEkaRqc16xSE4tQ_2_2"/>
      <w:bookmarkStart w:id="1694" w:name="Tc_aLz4N3Qt4keMhVbUICnlMw_1_8"/>
      <w:bookmarkStart w:id="1695" w:name="Tc_hTThvqj4cUyDIlaPjjxETQ_1_2"/>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r>
        <w:rPr>
          <w:rFonts w:ascii="Times New Roman;Times;serif" w:hAnsi="Times New Roman;Times;serif"/>
          <w:sz w:val="20"/>
        </w:rPr>
        <w:t>In addition, the Company has agreements with third-party administrators that allow participating vendors to track the Company’s payments and, if voluntarily elected by the vendor, to sell payment obligations from the Company to financial institutions as part of a Supply Chain Financing (“SCF”)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outstanding obligations under the SCF Program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81"/>
        <w:gridCol w:w="346"/>
        <w:gridCol w:w="277"/>
        <w:gridCol w:w="567"/>
        <w:gridCol w:w="454"/>
        <w:gridCol w:w="277"/>
        <w:gridCol w:w="571"/>
        <w:gridCol w:w="346"/>
        <w:gridCol w:w="228"/>
        <w:gridCol w:w="580"/>
        <w:gridCol w:w="374"/>
        <w:gridCol w:w="228"/>
        <w:gridCol w:w="580"/>
        <w:gridCol w:w="396"/>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3162935" cy="175260"/>
                      <wp:effectExtent l="0" t="0" r="0" b="0"/>
                      <wp:wrapNone/>
                      <wp:docPr id="601" name="Frame600"/>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19710" cy="175260"/>
                      <wp:effectExtent l="0" t="0" r="0" b="0"/>
                      <wp:wrapNone/>
                      <wp:docPr id="602"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75895" cy="175260"/>
                      <wp:effectExtent l="0" t="0" r="0" b="0"/>
                      <wp:wrapNone/>
                      <wp:docPr id="603" name="Frame60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360045" cy="175260"/>
                      <wp:effectExtent l="0" t="0" r="0" b="0"/>
                      <wp:wrapNone/>
                      <wp:docPr id="604" name="Frame603"/>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88290" cy="175260"/>
                      <wp:effectExtent l="0" t="0" r="0" b="0"/>
                      <wp:wrapNone/>
                      <wp:docPr id="605" name="Frame604"/>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75895" cy="175260"/>
                      <wp:effectExtent l="0" t="0" r="0" b="0"/>
                      <wp:wrapNone/>
                      <wp:docPr id="606" name="Frame60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362585" cy="175260"/>
                      <wp:effectExtent l="0" t="0" r="0" b="0"/>
                      <wp:wrapNone/>
                      <wp:docPr id="607" name="Frame6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19710" cy="175260"/>
                      <wp:effectExtent l="0" t="0" r="0" b="0"/>
                      <wp:wrapNone/>
                      <wp:docPr id="608" name="Frame6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44780" cy="175260"/>
                      <wp:effectExtent l="0" t="0" r="0" b="0"/>
                      <wp:wrapNone/>
                      <wp:docPr id="609" name="Frame60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368300" cy="175260"/>
                      <wp:effectExtent l="0" t="0" r="0" b="0"/>
                      <wp:wrapNone/>
                      <wp:docPr id="610" name="Frame609"/>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37490" cy="175260"/>
                      <wp:effectExtent l="0" t="0" r="0" b="0"/>
                      <wp:wrapNone/>
                      <wp:docPr id="611" name="Frame610"/>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44780" cy="175260"/>
                      <wp:effectExtent l="0" t="0" r="0" b="0"/>
                      <wp:wrapNone/>
                      <wp:docPr id="612" name="Frame61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368300" cy="175260"/>
                      <wp:effectExtent l="0" t="0" r="0" b="0"/>
                      <wp:wrapNone/>
                      <wp:docPr id="613" name="Frame612"/>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51460" cy="175260"/>
                      <wp:effectExtent l="0" t="0" r="0" b="0"/>
                      <wp:wrapNone/>
                      <wp:docPr id="614" name="Frame613"/>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color w:val="0563C1"/>
              </w:rPr>
            </w:pPr>
            <w:r>
              <w:rPr>
                <w:color w:val="0563C1"/>
              </w:rPr>
              <w:t>​</w:t>
            </w:r>
          </w:p>
        </w:tc>
        <w:tc>
          <w:tcPr>
            <w:tcW w:w="21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19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96" w:type="dxa"/>
            <w:tcBorders/>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4" w:type="dxa"/>
            <w:tcBorders/>
            <w:vAlign w:val="center"/>
          </w:tcPr>
          <w:p>
            <w:pPr>
              <w:pStyle w:val="TableContents"/>
              <w:bidi w:val="0"/>
              <w:spacing w:before="0" w:after="0"/>
              <w:ind w:left="0" w:right="0" w:hanging="0"/>
              <w:jc w:val="center"/>
              <w:rPr/>
            </w:pPr>
            <w:r>
              <w:rPr/>
              <w:t>  ​ ​ ​</w:t>
            </w:r>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4" w:type="dxa"/>
            <w:tcBorders/>
            <w:vAlign w:val="center"/>
          </w:tcPr>
          <w:p>
            <w:pPr>
              <w:pStyle w:val="TableContents"/>
              <w:bidi w:val="0"/>
              <w:spacing w:before="0" w:after="0"/>
              <w:ind w:left="0" w:right="0" w:hanging="0"/>
              <w:jc w:val="center"/>
              <w:rPr/>
            </w:pPr>
            <w:r>
              <w:rPr/>
              <w:t>  ​ ​ ​</w:t>
            </w:r>
          </w:p>
        </w:tc>
        <w:tc>
          <w:tcPr>
            <w:tcW w:w="8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6" w:type="dxa"/>
            <w:tcBorders/>
            <w:vAlign w:val="center"/>
          </w:tcPr>
          <w:p>
            <w:pPr>
              <w:pStyle w:val="TableContents"/>
              <w:bidi w:val="0"/>
              <w:spacing w:before="0" w:after="0"/>
              <w:ind w:left="0" w:right="0" w:hanging="0"/>
              <w:jc w:val="center"/>
              <w:rPr/>
            </w:pPr>
            <w:r>
              <w:rPr/>
              <w:t>  ​ ​ ​</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Confirmed obligations outstanding at the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454"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96"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Invoices confirmed during the period </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right"/>
              <w:rPr/>
            </w:pPr>
            <w:r>
              <w:rPr/>
              <w:t> </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454"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right"/>
              <w:rPr/>
            </w:pPr>
            <w:r>
              <w:rPr/>
              <w:t> </w:t>
            </w:r>
          </w:p>
        </w:tc>
        <w:tc>
          <w:tcPr>
            <w:tcW w:w="5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right"/>
              <w:rPr/>
            </w:pPr>
            <w:r>
              <w:rPr/>
              <w:t> </w:t>
            </w:r>
          </w:p>
        </w:tc>
        <w:tc>
          <w:tcPr>
            <w:tcW w:w="5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96"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Confirmed invoices paid during the period </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454"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96"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Confirmed obligations outstanding at the end of the period </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54"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74"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rFonts w:ascii="Times New Roman;Times;serif" w:hAnsi="Times New Roman;Times;serif"/>
          <w:b/>
          <w:sz w:val="20"/>
        </w:rPr>
      </w:pPr>
      <w:bookmarkStart w:id="1696" w:name="Item2ManagementsDiscussionandAnalysis_31"/>
      <w:bookmarkStart w:id="1697" w:name="_8e03a575_3c08_48bf_9b25_f82765e63e4d"/>
      <w:bookmarkEnd w:id="1696"/>
      <w:bookmarkEnd w:id="169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measure of profit for its reportable segments is segment operating profit, which consists of consolidated earnings (loss) before interest expense, net and provision for income taxes and excludes amounts related to certain items that management considers not representative of ongoing operations and other adjustments, as well as certain retained corporate costs. The segment data presented below is prepared in accordance with general accounting principles for segment reporting. The lines titled “reportable segment totals” in both net sales and segment operating profit, however, are non-GAAP measures when presented outside of the financial statement footnotes. Management has included reportable segment totals below to facilitate the discussion and analysis of financial condition and results of operations and believes this information allows the Board of Directors, management, investors and analysts to better understand the Company’s financial performance. The Company’s management, including the chief operating decision maker (defined as the Chief Executive Officer), uses segment operating profit, supplemented by net sales and selected cash flow information, to evaluate segment performance and allocate resources. Segment operating profit is not, however, intended as an alternative measure of operating results as determined in accordance with U.S. GAAP and is not necessarily comparable to similarly titled measures used by other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information for the three and six months ended June 30, 2026 and 2025 regarding the Company’s reportable segments is as follows (dollars in millions):</w:t>
      </w:r>
    </w:p>
    <w:tbl>
      <w:tblPr>
        <w:tblW w:w="7139" w:type="dxa"/>
        <w:jc w:val="left"/>
        <w:tblInd w:w="0" w:type="dxa"/>
        <w:tblLayout w:type="fixed"/>
        <w:tblCellMar>
          <w:top w:w="0" w:type="dxa"/>
          <w:left w:w="0" w:type="dxa"/>
          <w:bottom w:w="0" w:type="dxa"/>
          <w:right w:w="0" w:type="dxa"/>
        </w:tblCellMar>
      </w:tblPr>
      <w:tblGrid>
        <w:gridCol w:w="2236"/>
        <w:gridCol w:w="346"/>
        <w:gridCol w:w="211"/>
        <w:gridCol w:w="571"/>
        <w:gridCol w:w="346"/>
        <w:gridCol w:w="211"/>
        <w:gridCol w:w="571"/>
        <w:gridCol w:w="346"/>
        <w:gridCol w:w="211"/>
        <w:gridCol w:w="571"/>
        <w:gridCol w:w="346"/>
        <w:gridCol w:w="211"/>
        <w:gridCol w:w="571"/>
        <w:gridCol w:w="39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419860" cy="175260"/>
                      <wp:effectExtent l="0" t="0" r="0" b="0"/>
                      <wp:wrapNone/>
                      <wp:docPr id="615" name="Frame614"/>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19710" cy="175260"/>
                      <wp:effectExtent l="0" t="0" r="0" b="0"/>
                      <wp:wrapNone/>
                      <wp:docPr id="616"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33985" cy="175260"/>
                      <wp:effectExtent l="0" t="0" r="0" b="0"/>
                      <wp:wrapNone/>
                      <wp:docPr id="617" name="Frame6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362585" cy="175260"/>
                      <wp:effectExtent l="0" t="0" r="0" b="0"/>
                      <wp:wrapNone/>
                      <wp:docPr id="618" name="Frame6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19710" cy="175260"/>
                      <wp:effectExtent l="0" t="0" r="0" b="0"/>
                      <wp:wrapNone/>
                      <wp:docPr id="619" name="Frame6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33985" cy="175260"/>
                      <wp:effectExtent l="0" t="0" r="0" b="0"/>
                      <wp:wrapNone/>
                      <wp:docPr id="620" name="Frame6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362585" cy="175260"/>
                      <wp:effectExtent l="0" t="0" r="0" b="0"/>
                      <wp:wrapNone/>
                      <wp:docPr id="621" name="Frame6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19710" cy="175260"/>
                      <wp:effectExtent l="0" t="0" r="0" b="0"/>
                      <wp:wrapNone/>
                      <wp:docPr id="622" name="Frame6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33985" cy="175260"/>
                      <wp:effectExtent l="0" t="0" r="0" b="0"/>
                      <wp:wrapNone/>
                      <wp:docPr id="623" name="Frame6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362585" cy="175260"/>
                      <wp:effectExtent l="0" t="0" r="0" b="0"/>
                      <wp:wrapNone/>
                      <wp:docPr id="624" name="Frame6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19710" cy="175260"/>
                      <wp:effectExtent l="0" t="0" r="0" b="0"/>
                      <wp:wrapNone/>
                      <wp:docPr id="625" name="Frame6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33985" cy="175260"/>
                      <wp:effectExtent l="0" t="0" r="0" b="0"/>
                      <wp:wrapNone/>
                      <wp:docPr id="626" name="Frame6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362585" cy="175260"/>
                      <wp:effectExtent l="0" t="0" r="0" b="0"/>
                      <wp:wrapNone/>
                      <wp:docPr id="627" name="Frame6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48285" cy="175260"/>
                      <wp:effectExtent l="0" t="0" r="0" b="0"/>
                      <wp:wrapNone/>
                      <wp:docPr id="628" name="Frame62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91" w:type="dxa"/>
            <w:tcBorders/>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w:t>
            </w:r>
          </w:p>
        </w:tc>
        <w:tc>
          <w:tcPr>
            <w:tcW w:w="391"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w:t>
            </w:r>
          </w:p>
        </w:tc>
        <w:tc>
          <w:tcPr>
            <w:tcW w:w="391"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803" w:type="dxa"/>
        <w:jc w:val="left"/>
        <w:tblInd w:w="0" w:type="dxa"/>
        <w:tblLayout w:type="fixed"/>
        <w:tblCellMar>
          <w:top w:w="0" w:type="dxa"/>
          <w:left w:w="0" w:type="dxa"/>
          <w:bottom w:w="0" w:type="dxa"/>
          <w:right w:w="0" w:type="dxa"/>
        </w:tblCellMar>
      </w:tblPr>
      <w:tblGrid>
        <w:gridCol w:w="4396"/>
        <w:gridCol w:w="346"/>
        <w:gridCol w:w="211"/>
        <w:gridCol w:w="541"/>
        <w:gridCol w:w="346"/>
        <w:gridCol w:w="211"/>
        <w:gridCol w:w="421"/>
        <w:gridCol w:w="346"/>
        <w:gridCol w:w="211"/>
        <w:gridCol w:w="691"/>
        <w:gridCol w:w="346"/>
        <w:gridCol w:w="211"/>
        <w:gridCol w:w="52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791460" cy="175260"/>
                      <wp:effectExtent l="0" t="0" r="0" b="0"/>
                      <wp:wrapNone/>
                      <wp:docPr id="629" name="Frame628"/>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19710" cy="175260"/>
                      <wp:effectExtent l="0" t="0" r="0" b="0"/>
                      <wp:wrapNone/>
                      <wp:docPr id="630" name="Frame6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985" cy="175260"/>
                      <wp:effectExtent l="0" t="0" r="0" b="0"/>
                      <wp:wrapNone/>
                      <wp:docPr id="631" name="Frame6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343535" cy="175260"/>
                      <wp:effectExtent l="0" t="0" r="0" b="0"/>
                      <wp:wrapNone/>
                      <wp:docPr id="632" name="Frame63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19710" cy="175260"/>
                      <wp:effectExtent l="0" t="0" r="0" b="0"/>
                      <wp:wrapNone/>
                      <wp:docPr id="633" name="Frame6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33985" cy="175260"/>
                      <wp:effectExtent l="0" t="0" r="0" b="0"/>
                      <wp:wrapNone/>
                      <wp:docPr id="634" name="Frame6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67335" cy="175260"/>
                      <wp:effectExtent l="0" t="0" r="0" b="0"/>
                      <wp:wrapNone/>
                      <wp:docPr id="635" name="Frame63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19710" cy="175260"/>
                      <wp:effectExtent l="0" t="0" r="0" b="0"/>
                      <wp:wrapNone/>
                      <wp:docPr id="636" name="Frame6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33985" cy="175260"/>
                      <wp:effectExtent l="0" t="0" r="0" b="0"/>
                      <wp:wrapNone/>
                      <wp:docPr id="637" name="Frame6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38785" cy="175260"/>
                      <wp:effectExtent l="0" t="0" r="0" b="0"/>
                      <wp:wrapNone/>
                      <wp:docPr id="638" name="Frame6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19710" cy="175260"/>
                      <wp:effectExtent l="0" t="0" r="0" b="0"/>
                      <wp:wrapNone/>
                      <wp:docPr id="639" name="Frame6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33985" cy="175260"/>
                      <wp:effectExtent l="0" t="0" r="0" b="0"/>
                      <wp:wrapNone/>
                      <wp:docPr id="640" name="Frame6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334010" cy="175260"/>
                      <wp:effectExtent l="0" t="0" r="0" b="0"/>
                      <wp:wrapNone/>
                      <wp:docPr id="641" name="Frame64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9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excluded from segment operating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corporate costs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Restructuring, asset impairment and other charges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sale of joint venture and misc.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Legacy environmental charge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totals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Note: All amounts excluded from reportable segment totals are discussed in the following applicable sections.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 — Quarters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in the second quarter of 2026 decreased $38 million, or approximately 2%, compared to the same period in the prior year, primarily due to the impact from lower sales volumes, partially offset by slightly higher average selling prices and favorable foreign currency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Loss before income taxes changed by $834 million in the second quarter of 2026 compared to earnings before income taxes in the same quarter in 2025. This change was primarily due to a </w:t>
      </w:r>
      <w:r>
        <w:rPr>
          <w:rFonts w:ascii="Times New Roman;Times;serif" w:hAnsi="Times New Roman;Times;serif"/>
          <w:color w:val="212529"/>
          <w:sz w:val="20"/>
          <w:shd w:fill="FFFFFF" w:val="clear"/>
        </w:rPr>
        <w:t xml:space="preserve">goodwill impairment and </w:t>
      </w:r>
      <w:r>
        <w:rPr>
          <w:rFonts w:ascii="Times New Roman;Times;serif" w:hAnsi="Times New Roman;Times;serif"/>
          <w:sz w:val="20"/>
        </w:rPr>
        <w:t>lower segment operating profit in Europe.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operating profit of reportable segments in the second quarter of 2026 was $54 million lower compared to the same period in the prior year, primarily due to lower net prices (net of cost inflation) and lower sales volumes, partially offset by lower operating costs and the favorable impact of foreign currency translation. Operating costs were favorably impacted by benefits from the Company’s Fit to Win initiative, partially offset by furnace events and operational disruptions following recent plant restructuring actions and other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interest expense in the second quarter of 2026 increased $1 million compared to the second quarter of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second quarter of 2026, the Company recorded net loss attributable to the Company of $972 million, or $6.33 per share, compared to a net loss attributable to the Company of $5 million, or $0.03 per share, in the second quarter of 2025. As discussed below, net loss attributable to the Company in 2026 and 2025 included items that management considers not representative of ongoing operations and other adjustments. These items increased net loss attributable to the Company by $986 million, or $6.42 per share, in the second quarter of 2026 and increased net loss attributable to the Company by $86 million, or $0.56 per share, in the second quarter of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 Second Quarter of 2026 Compared with Second Quarter of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net sales in the second quarter of 2026 were $1,668 million compared with $1,706 million in the second quarter of 2025, a decrease of $38 million, or approximately 2%. Glass container shipments, in tons, were down approximately 5% in the second quarter of 2026 (down approximately 4.5% excluding the impact of a divestiture), which decreased net sales by approximately $84 million compared to the same period in the prior year. Average selling prices slightly increased, which increased net sales by $4 million in the second quarter of 2026. The Company believes that several factors contributed to lower volumes in the second quarter of 2026, including softer demand, challenging prior year comparisons, and constrained sales opportunities resulting from several furnace events and operational disruptions following recent plant restructuring actions. Demand trends improved sequentially through the second quarter with June 2026 sales volumes being flat with June 2025. Food and non-alcoholic beverage glass container sales continue to perform better than beer, wine and spirits sales. Favorable foreign currency exchange rates increased net sales by $49 million in the second quarter of 2026 compared to the same period in the prior year. Other sales were approximately $7 million lower in the second quarter of 2026 than in the same quarter in the prior year, driven by the divestiture of a plant in the fourth quarter of 2025 in the former Asia Pacific region.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change in net sales of reportable segments can be summarized as follows (dollars in millions):</w:t>
      </w:r>
    </w:p>
    <w:tbl>
      <w:tblPr>
        <w:tblW w:w="5943" w:type="dxa"/>
        <w:jc w:val="left"/>
        <w:tblInd w:w="0" w:type="dxa"/>
        <w:tblLayout w:type="fixed"/>
        <w:tblCellMar>
          <w:top w:w="0" w:type="dxa"/>
          <w:left w:w="0" w:type="dxa"/>
          <w:bottom w:w="0" w:type="dxa"/>
          <w:right w:w="0" w:type="dxa"/>
        </w:tblCellMar>
      </w:tblPr>
      <w:tblGrid>
        <w:gridCol w:w="3631"/>
        <w:gridCol w:w="346"/>
        <w:gridCol w:w="211"/>
        <w:gridCol w:w="436"/>
        <w:gridCol w:w="346"/>
        <w:gridCol w:w="211"/>
        <w:gridCol w:w="571"/>
        <w:gridCol w:w="191"/>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305685" cy="175260"/>
                      <wp:effectExtent l="0" t="0" r="0" b="0"/>
                      <wp:wrapNone/>
                      <wp:docPr id="642" name="Frame641"/>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19710" cy="175260"/>
                      <wp:effectExtent l="0" t="0" r="0" b="0"/>
                      <wp:wrapNone/>
                      <wp:docPr id="643" name="Frame6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33985" cy="175260"/>
                      <wp:effectExtent l="0" t="0" r="0" b="0"/>
                      <wp:wrapNone/>
                      <wp:docPr id="644" name="Frame6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76860" cy="175260"/>
                      <wp:effectExtent l="0" t="0" r="0" b="0"/>
                      <wp:wrapNone/>
                      <wp:docPr id="645" name="Frame64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19710" cy="175260"/>
                      <wp:effectExtent l="0" t="0" r="0" b="0"/>
                      <wp:wrapNone/>
                      <wp:docPr id="646" name="Frame6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33985" cy="175260"/>
                      <wp:effectExtent l="0" t="0" r="0" b="0"/>
                      <wp:wrapNone/>
                      <wp:docPr id="647" name="Frame6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362585" cy="175260"/>
                      <wp:effectExtent l="0" t="0" r="0" b="0"/>
                      <wp:wrapNone/>
                      <wp:docPr id="648" name="Frame6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121285" cy="175260"/>
                      <wp:effectExtent l="0" t="0" r="0" b="0"/>
                      <wp:wrapNone/>
                      <wp:docPr id="649" name="Frame64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net sales - 2025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volume and mix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changing foreign currency rates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effect on reportable segment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net sales - 2026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Americas: Net sales in the Americas in the second quarter of 2026 were $949 million compared to $943 million in the second quarter of 2025, an increase of $6 million, or less than 1%. Higher selling prices in the region increased net sales by $36 million in the second quarter of 2026. Glass container shipments were approximately 7% lower in the second quarter of 2026, which decreased net sales by approximately $74 million, due to challenging prior year comparisons, softer demand, exiting some unprofitable business and the impact of a furnace event, which constrained sales opportunities. The favorable effects of foreign currency exchange rate changes increased net sales by $44 million in the second quarter of 2026 compared to the same period in 2025, as the Brazilian Real, Colombian Peso and Mexican Peso strengthened compared to the U.S. dollar.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Europe: Net sales in Europe in the second quarter of 2026 were $704 million compared to $741 million in the second quarter of 2025, a decrease of $37 million, or approximately 5%. Lower average selling prices in Europe decreased net sales by $32 million in the second quarter of 2026. Glass container shipments decreased by approximately 2% in the second quarter of 2026, which decreased net sales by approximately $10 million. The Company believes that lower net sales in the second quarter of 2026 were due to operational disruptions following recent plant restructuring actions, which limited sales opportunities. Favorable effects of foreign currency exchange rate changes increased net sales by $5 million in the second quarter of 2026 compared to the same period in the prior year, as the Euro slightly strengthened compared to the U.S. dollar.</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Earnings (Loss) before Income Taxes and Segment Operating Profit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Loss before income taxes was $827 million in the second quarter of 2026 compared to earnings before income taxes of $7 million in the second quarter of 2025, a change of $834 million.  This change was primarily due to a </w:t>
      </w:r>
      <w:r>
        <w:rPr>
          <w:rFonts w:ascii="Times New Roman;Times;serif" w:hAnsi="Times New Roman;Times;serif"/>
          <w:color w:val="212529"/>
          <w:sz w:val="20"/>
          <w:shd w:fill="FFFFFF" w:val="clear"/>
        </w:rPr>
        <w:t xml:space="preserve">goodwill impairment and </w:t>
      </w:r>
      <w:r>
        <w:rPr>
          <w:rFonts w:ascii="Times New Roman;Times;serif" w:hAnsi="Times New Roman;Times;serif"/>
          <w:sz w:val="20"/>
        </w:rPr>
        <w:t>lower segment operating profit in Europe.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operating profit of the reportable segments includes an allocation of some corporate expenses based on a percentage of sales and direct billings based on the costs of specific services provided. Unallocated corporate expenses and certain other expenses not directly related to the reportable segments’ operations are included in Retained corporate costs and other. For further information, see Segment Information included in Note 1 to the Condensed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operating profit of reportable segments in the second quarter of 2026 was $171 million, compared to $225 million in the second quarter of 2025, a decrease of $54 million, or 24%. This decrease was primarily due to lower net prices (net of cost inflation) and lower sales volumes. Operating costs were lower and favorably impacted by approximately $53 million of benefits from the Company’s Fit to Win initiative (consistent with management’s expectations), partially offset by approximately $34 million related to temporary production curtailments, furnace events and operational disruptions following recent plant restructuring actions and other costs. Favorable foreign currency exchange rates increased segment operating profit by $9 million in the second quarter of 2026 compared to the same quarter in the prior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change in segment operating profit of reportable segments can be summarized as follows (dollars in millions):</w:t>
      </w:r>
    </w:p>
    <w:tbl>
      <w:tblPr>
        <w:tblW w:w="6693" w:type="dxa"/>
        <w:jc w:val="left"/>
        <w:tblInd w:w="0" w:type="dxa"/>
        <w:tblLayout w:type="fixed"/>
        <w:tblCellMar>
          <w:top w:w="0" w:type="dxa"/>
          <w:left w:w="0" w:type="dxa"/>
          <w:bottom w:w="0" w:type="dxa"/>
          <w:right w:w="0" w:type="dxa"/>
        </w:tblCellMar>
      </w:tblPr>
      <w:tblGrid>
        <w:gridCol w:w="4516"/>
        <w:gridCol w:w="346"/>
        <w:gridCol w:w="211"/>
        <w:gridCol w:w="436"/>
        <w:gridCol w:w="346"/>
        <w:gridCol w:w="211"/>
        <w:gridCol w:w="436"/>
        <w:gridCol w:w="191"/>
      </w:tblGrid>
      <w:tr>
        <w:trPr/>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867660" cy="175895"/>
                      <wp:effectExtent l="0" t="0" r="0" b="0"/>
                      <wp:wrapNone/>
                      <wp:docPr id="650" name="Frame649"/>
                      <a:graphic xmlns:a="http://schemas.openxmlformats.org/drawingml/2006/main">
                        <a:graphicData uri="http://schemas.microsoft.com/office/word/2010/wordprocessingShape">
                          <wps:wsp>
                            <wps:cNvSpPr txBox="1"/>
                            <wps:spPr>
                              <a:xfrm>
                                <a:off x="0" y="0"/>
                                <a:ext cx="28676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19710" cy="175895"/>
                      <wp:effectExtent l="0" t="0" r="0" b="0"/>
                      <wp:wrapNone/>
                      <wp:docPr id="651" name="Frame65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33985" cy="175895"/>
                      <wp:effectExtent l="0" t="0" r="0" b="0"/>
                      <wp:wrapNone/>
                      <wp:docPr id="652" name="Frame65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76860" cy="175895"/>
                      <wp:effectExtent l="0" t="0" r="0" b="0"/>
                      <wp:wrapNone/>
                      <wp:docPr id="653" name="Frame652"/>
                      <a:graphic xmlns:a="http://schemas.openxmlformats.org/drawingml/2006/main">
                        <a:graphicData uri="http://schemas.microsoft.com/office/word/2010/wordprocessingShape">
                          <wps:wsp>
                            <wps:cNvSpPr txBox="1"/>
                            <wps:spPr>
                              <a:xfrm>
                                <a:off x="0" y="0"/>
                                <a:ext cx="2768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19710" cy="175895"/>
                      <wp:effectExtent l="0" t="0" r="0" b="0"/>
                      <wp:wrapNone/>
                      <wp:docPr id="654" name="Frame65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133985" cy="175895"/>
                      <wp:effectExtent l="0" t="0" r="0" b="0"/>
                      <wp:wrapNone/>
                      <wp:docPr id="655" name="Frame65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76860" cy="175895"/>
                      <wp:effectExtent l="0" t="0" r="0" b="0"/>
                      <wp:wrapNone/>
                      <wp:docPr id="656" name="Frame655"/>
                      <a:graphic xmlns:a="http://schemas.openxmlformats.org/drawingml/2006/main">
                        <a:graphicData uri="http://schemas.microsoft.com/office/word/2010/wordprocessingShape">
                          <wps:wsp>
                            <wps:cNvSpPr txBox="1"/>
                            <wps:spPr>
                              <a:xfrm>
                                <a:off x="0" y="0"/>
                                <a:ext cx="27686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21285" cy="175895"/>
                      <wp:effectExtent l="0" t="0" r="0" b="0"/>
                      <wp:wrapNone/>
                      <wp:docPr id="657" name="Frame656"/>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451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Reportable segment operating profit - 2025</w:t>
            </w:r>
          </w:p>
        </w:tc>
        <w:tc>
          <w:tcPr>
            <w:tcW w:w="346" w:type="dxa"/>
            <w:tcBorders/>
            <w:shd w:fill="CCEEFF" w:val="clear"/>
            <w:vAlign w:val="center"/>
          </w:tcPr>
          <w:p>
            <w:pPr>
              <w:pStyle w:val="TableContents"/>
              <w:bidi w:val="0"/>
              <w:spacing w:before="1" w:after="0"/>
              <w:ind w:left="0" w:right="0" w:hanging="0"/>
              <w:jc w:val="left"/>
              <w:rPr/>
            </w:pPr>
            <w:r>
              <w:rPr/>
              <w:t>  ​ ​ ​</w:t>
            </w:r>
          </w:p>
        </w:tc>
        <w:tc>
          <w:tcPr>
            <w:tcW w:w="211" w:type="dxa"/>
            <w:tcBorders/>
            <w:shd w:fill="CCEEFF" w:val="clear"/>
            <w:vAlign w:val="center"/>
          </w:tcPr>
          <w:p>
            <w:pPr>
              <w:pStyle w:val="TableContents"/>
              <w:bidi w:val="0"/>
              <w:spacing w:before="1" w:after="0"/>
              <w:ind w:left="0" w:right="0" w:hanging="0"/>
              <w:jc w:val="left"/>
              <w:rPr/>
            </w:pPr>
            <w:r>
              <w:rPr/>
              <w:t>​</w:t>
            </w:r>
          </w:p>
        </w:tc>
        <w:tc>
          <w:tcPr>
            <w:tcW w:w="43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  ​ ​ ​</w:t>
            </w:r>
          </w:p>
        </w:tc>
        <w:tc>
          <w:tcPr>
            <w:tcW w:w="211"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191" w:type="dxa"/>
            <w:tcBorders/>
            <w:shd w:fill="CCEEFF" w:val="clear"/>
            <w:vAlign w:val="center"/>
          </w:tcPr>
          <w:p>
            <w:pPr>
              <w:pStyle w:val="TableContents"/>
              <w:bidi w:val="0"/>
              <w:spacing w:before="1" w:after="0"/>
              <w:ind w:left="0" w:right="0" w:hanging="0"/>
              <w:jc w:val="left"/>
              <w:rPr/>
            </w:pPr>
            <w:r>
              <w:rPr/>
              <w:t> </w:t>
            </w:r>
          </w:p>
        </w:tc>
      </w:tr>
      <w:tr>
        <w:trPr/>
        <w:tc>
          <w:tcPr>
            <w:tcW w:w="451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Net price (net of cost inflation)</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436" w:type="dxa"/>
            <w:tcBorders/>
            <w:vAlign w:val="center"/>
          </w:tcPr>
          <w:p>
            <w:pPr>
              <w:pStyle w:val="TableContents"/>
              <w:bidi w:val="0"/>
              <w:spacing w:before="1" w:after="0"/>
              <w:ind w:left="0" w:right="0" w:hanging="0"/>
              <w:jc w:val="left"/>
              <w:rPr/>
            </w:pPr>
            <w:r>
              <w:rPr/>
              <w:t>​</w:t>
            </w:r>
          </w:p>
        </w:tc>
        <w:tc>
          <w:tcPr>
            <w:tcW w:w="191" w:type="dxa"/>
            <w:tcBorders/>
            <w:vAlign w:val="center"/>
          </w:tcPr>
          <w:p>
            <w:pPr>
              <w:pStyle w:val="TableContents"/>
              <w:bidi w:val="0"/>
              <w:spacing w:before="1" w:after="0"/>
              <w:ind w:left="0" w:right="0" w:hanging="0"/>
              <w:jc w:val="left"/>
              <w:rPr/>
            </w:pPr>
            <w:r>
              <w:rPr/>
              <w:t>​</w:t>
            </w:r>
          </w:p>
        </w:tc>
      </w:tr>
      <w:tr>
        <w:trPr/>
        <w:tc>
          <w:tcPr>
            <w:tcW w:w="451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Sales volume and mix</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4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436" w:type="dxa"/>
            <w:tcBorders/>
            <w:shd w:fill="CCEEFF" w:val="clear"/>
            <w:vAlign w:val="center"/>
          </w:tcPr>
          <w:p>
            <w:pPr>
              <w:pStyle w:val="TableContents"/>
              <w:bidi w:val="0"/>
              <w:spacing w:before="1" w:after="0"/>
              <w:ind w:left="0" w:right="0" w:hanging="0"/>
              <w:jc w:val="left"/>
              <w:rPr/>
            </w:pPr>
            <w:r>
              <w:rPr/>
              <w:t>​</w:t>
            </w:r>
          </w:p>
        </w:tc>
        <w:tc>
          <w:tcPr>
            <w:tcW w:w="191" w:type="dxa"/>
            <w:tcBorders/>
            <w:shd w:fill="CCEEFF" w:val="clear"/>
            <w:vAlign w:val="center"/>
          </w:tcPr>
          <w:p>
            <w:pPr>
              <w:pStyle w:val="TableContents"/>
              <w:bidi w:val="0"/>
              <w:spacing w:before="1" w:after="0"/>
              <w:ind w:left="0" w:right="0" w:hanging="0"/>
              <w:jc w:val="left"/>
              <w:rPr/>
            </w:pPr>
            <w:r>
              <w:rPr/>
              <w:t>​</w:t>
            </w:r>
          </w:p>
        </w:tc>
      </w:tr>
      <w:tr>
        <w:trPr/>
        <w:tc>
          <w:tcPr>
            <w:tcW w:w="451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right"/>
              <w:rPr/>
            </w:pPr>
            <w:r>
              <w:rPr/>
              <w:t> </w:t>
            </w:r>
          </w:p>
        </w:tc>
        <w:tc>
          <w:tcPr>
            <w:tcW w:w="436" w:type="dxa"/>
            <w:tcBorders/>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436" w:type="dxa"/>
            <w:tcBorders/>
            <w:vAlign w:val="center"/>
          </w:tcPr>
          <w:p>
            <w:pPr>
              <w:pStyle w:val="TableContents"/>
              <w:bidi w:val="0"/>
              <w:spacing w:before="1" w:after="0"/>
              <w:ind w:left="0" w:right="0" w:hanging="0"/>
              <w:jc w:val="left"/>
              <w:rPr/>
            </w:pPr>
            <w:r>
              <w:rPr/>
              <w:t>​</w:t>
            </w:r>
          </w:p>
        </w:tc>
        <w:tc>
          <w:tcPr>
            <w:tcW w:w="191" w:type="dxa"/>
            <w:tcBorders/>
            <w:vAlign w:val="center"/>
          </w:tcPr>
          <w:p>
            <w:pPr>
              <w:pStyle w:val="TableContents"/>
              <w:bidi w:val="0"/>
              <w:spacing w:before="1" w:after="0"/>
              <w:ind w:left="0" w:right="0" w:hanging="0"/>
              <w:jc w:val="left"/>
              <w:rPr/>
            </w:pPr>
            <w:r>
              <w:rPr/>
              <w:t>​</w:t>
            </w:r>
          </w:p>
        </w:tc>
      </w:tr>
      <w:tr>
        <w:trPr/>
        <w:tc>
          <w:tcPr>
            <w:tcW w:w="451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Effects of changing foreign currency rates</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right"/>
              <w:rPr/>
            </w:pPr>
            <w:r>
              <w:rPr/>
              <w:t>​</w:t>
            </w:r>
          </w:p>
        </w:tc>
        <w:tc>
          <w:tcPr>
            <w:tcW w:w="436" w:type="dxa"/>
            <w:tcBorders/>
            <w:shd w:fill="CCEEFF" w:val="cle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436" w:type="dxa"/>
            <w:tcBorders/>
            <w:shd w:fill="CCEEFF" w:val="clear"/>
            <w:vAlign w:val="center"/>
          </w:tcPr>
          <w:p>
            <w:pPr>
              <w:pStyle w:val="TableContents"/>
              <w:bidi w:val="0"/>
              <w:spacing w:before="1" w:after="0"/>
              <w:ind w:left="0" w:right="0" w:hanging="0"/>
              <w:jc w:val="left"/>
              <w:rPr/>
            </w:pPr>
            <w:r>
              <w:rPr/>
              <w:t>​</w:t>
            </w:r>
          </w:p>
        </w:tc>
        <w:tc>
          <w:tcPr>
            <w:tcW w:w="191" w:type="dxa"/>
            <w:tcBorders/>
            <w:shd w:fill="CCEEFF" w:val="clear"/>
            <w:vAlign w:val="center"/>
          </w:tcPr>
          <w:p>
            <w:pPr>
              <w:pStyle w:val="TableContents"/>
              <w:bidi w:val="0"/>
              <w:spacing w:before="1" w:after="0"/>
              <w:ind w:left="0" w:right="0" w:hanging="0"/>
              <w:jc w:val="left"/>
              <w:rPr/>
            </w:pPr>
            <w:r>
              <w:rPr/>
              <w:t>​</w:t>
            </w:r>
          </w:p>
        </w:tc>
      </w:tr>
      <w:tr>
        <w:trPr/>
        <w:tc>
          <w:tcPr>
            <w:tcW w:w="4516" w:type="dxa"/>
            <w:tcBorders/>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Total net effect on reportable segment operating profit</w:t>
            </w:r>
          </w:p>
        </w:tc>
        <w:tc>
          <w:tcPr>
            <w:tcW w:w="346" w:type="dxa"/>
            <w:tcBorders/>
            <w:vAlign w:val="center"/>
          </w:tcPr>
          <w:p>
            <w:pPr>
              <w:pStyle w:val="TableContents"/>
              <w:bidi w:val="0"/>
              <w:spacing w:before="1" w:after="0"/>
              <w:ind w:left="0" w:right="0" w:hanging="0"/>
              <w:jc w:val="left"/>
              <w:rPr/>
            </w:pPr>
            <w:r>
              <w:rPr/>
              <w:t>​</w:t>
            </w:r>
          </w:p>
        </w:tc>
        <w:tc>
          <w:tcPr>
            <w:tcW w:w="211" w:type="dxa"/>
            <w:tcBorders/>
            <w:vAlign w:val="center"/>
          </w:tcPr>
          <w:p>
            <w:pPr>
              <w:pStyle w:val="TableContents"/>
              <w:bidi w:val="0"/>
              <w:spacing w:before="1" w:after="0"/>
              <w:ind w:left="0" w:right="0" w:hanging="0"/>
              <w:jc w:val="left"/>
              <w:rPr/>
            </w:pPr>
            <w:r>
              <w:rPr/>
              <w:t>​</w:t>
            </w:r>
          </w:p>
        </w:tc>
        <w:tc>
          <w:tcPr>
            <w:tcW w:w="436" w:type="dxa"/>
            <w:tcBorders/>
            <w:vAlign w:val="center"/>
          </w:tcPr>
          <w:p>
            <w:pPr>
              <w:pStyle w:val="TableContents"/>
              <w:bidi w:val="0"/>
              <w:spacing w:before="1" w:after="0"/>
              <w:ind w:left="0" w:right="0" w:hanging="0"/>
              <w:jc w:val="left"/>
              <w:rPr/>
            </w:pPr>
            <w:r>
              <w:rPr/>
              <w:t>​</w:t>
            </w:r>
          </w:p>
        </w:tc>
        <w:tc>
          <w:tcPr>
            <w:tcW w:w="346" w:type="dxa"/>
            <w:tcBorders/>
            <w:vAlign w:val="center"/>
          </w:tcPr>
          <w:p>
            <w:pPr>
              <w:pStyle w:val="TableContents"/>
              <w:bidi w:val="0"/>
              <w:spacing w:before="1"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0"/>
              <w:ind w:left="0" w:right="0" w:hanging="0"/>
              <w:jc w:val="right"/>
              <w:rPr/>
            </w:pPr>
            <w:r>
              <w:rPr/>
              <w:t>​</w:t>
            </w:r>
          </w:p>
        </w:tc>
        <w:tc>
          <w:tcPr>
            <w:tcW w:w="436" w:type="dxa"/>
            <w:tcBorders>
              <w:bottom w:val="single" w:sz="2" w:space="0" w:color="000000"/>
            </w:tcBorders>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91" w:type="dxa"/>
            <w:tcBorders/>
            <w:vAlign w:val="center"/>
          </w:tcPr>
          <w:p>
            <w:pPr>
              <w:pStyle w:val="TableContents"/>
              <w:bidi w:val="0"/>
              <w:spacing w:before="1" w:after="0"/>
              <w:ind w:left="0" w:right="0" w:hanging="0"/>
              <w:jc w:val="left"/>
              <w:rPr/>
            </w:pPr>
            <w:r>
              <w:rPr/>
              <w:t>​</w:t>
            </w:r>
          </w:p>
        </w:tc>
      </w:tr>
      <w:tr>
        <w:trPr/>
        <w:tc>
          <w:tcPr>
            <w:tcW w:w="4516" w:type="dxa"/>
            <w:tcBorders/>
            <w:shd w:fill="CCEEFF" w:val="cle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Reportable segment operating profit - 2026</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shd w:fill="CCEEFF" w:val="clear"/>
            <w:vAlign w:val="center"/>
          </w:tcPr>
          <w:p>
            <w:pPr>
              <w:pStyle w:val="TableContents"/>
              <w:bidi w:val="0"/>
              <w:spacing w:before="1" w:after="0"/>
              <w:ind w:left="0" w:right="0" w:hanging="0"/>
              <w:jc w:val="left"/>
              <w:rPr/>
            </w:pPr>
            <w:r>
              <w:rPr/>
              <w:t>​</w:t>
            </w:r>
          </w:p>
        </w:tc>
        <w:tc>
          <w:tcPr>
            <w:tcW w:w="436" w:type="dxa"/>
            <w:tcBorders/>
            <w:shd w:fill="CCEEFF" w:val="clear"/>
            <w:vAlign w:val="center"/>
          </w:tcPr>
          <w:p>
            <w:pPr>
              <w:pStyle w:val="TableContents"/>
              <w:bidi w:val="0"/>
              <w:spacing w:before="1" w:after="0"/>
              <w:ind w:left="0" w:right="0" w:hanging="0"/>
              <w:jc w:val="left"/>
              <w:rPr/>
            </w:pPr>
            <w:r>
              <w:rPr/>
              <w:t>​</w:t>
            </w:r>
          </w:p>
        </w:tc>
        <w:tc>
          <w:tcPr>
            <w:tcW w:w="346" w:type="dxa"/>
            <w:tcBorders/>
            <w:shd w:fill="CCEEFF" w:val="clear"/>
            <w:vAlign w:val="center"/>
          </w:tcPr>
          <w:p>
            <w:pPr>
              <w:pStyle w:val="TableContents"/>
              <w:bidi w:val="0"/>
              <w:spacing w:before="1"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1"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191" w:type="dxa"/>
            <w:tcBorders/>
            <w:shd w:fill="CCEEFF" w:val="clear"/>
            <w:vAlign w:val="center"/>
          </w:tcPr>
          <w:p>
            <w:pPr>
              <w:pStyle w:val="TableContents"/>
              <w:bidi w:val="0"/>
              <w:spacing w:before="1" w:after="0"/>
              <w:ind w:left="0" w:right="0" w:hanging="0"/>
              <w:jc w:val="left"/>
              <w:rPr/>
            </w:pPr>
            <w:r>
              <w:rPr/>
              <w:t>​</w:t>
            </w:r>
          </w:p>
        </w:tc>
      </w:tr>
    </w:tbl>
    <w:p>
      <w:pPr>
        <w:pStyle w:val="TextBody"/>
        <w:bidi w:val="0"/>
        <w:spacing w:before="120" w:after="283"/>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Americas: Segment operating profit in the Americas was $165 million in the second quarter of 2026, compared to $135 million in the second quarter of 2025, an increase of $30 million, or approximately 22%. Higher selling prices exceeded higher cost inflation and resulted in a $21 million increase to segment operating profit in the second quarter of 2026. The impact of lower shipments discussed above decreased segment operating profit by $17 million in the second quarter of 2026 compared to the same quarter in 2025. The effects of foreign currency exchange rates increased segment operating profit by $10 million in the second quarter of 2026.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operating costs in the second quarter of 2026 were $16 million lower than in the same period in the prior year, primarily due to approximately $19 million in savings from the Company’s Fit to Win initiative, partially offset by $3 million from costs related to a furnace event and other items.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its Fit to Win initiative, t</w:t>
      </w:r>
      <w:r>
        <w:rPr>
          <w:rFonts w:ascii="Times New Roman;Times;serif" w:hAnsi="Times New Roman;Times;serif"/>
          <w:color w:val="212529"/>
          <w:sz w:val="20"/>
        </w:rPr>
        <w:t xml:space="preserve">he Company will continue to monitor business trends and consider whether any additional temporary downtime or permanent capacity closures in the Americas will be necessary in future periods to align its business with demand trends.  Any permanent capacity closures could result in material restructuring and impairment charges, as well as cash expenditures, in future periods.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Europe: Segment operating profit in Europe was $6 million in the second quarter of 2026 compared to $90 million in the second quarter of 2025, a decrease of $84 million, or approximately 93%. Lower net selling prices (net of cost inflation) decreased segment operating profit by $85 million in the second quarter of 2026 compared to the same quarter in 2025 due to elevated competitive pressures and a step-up in energy costs following the expiration of favorable energy contracts at the end of 2025 and higher costs stemming from the Middle East conflicts. The impact of lower shipments discussed above decreased segment operating profit by approximately $1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Partially offsetting this was the benefit of $3 million of lower operating costs in the second quarter of 2026 compared to the same quarter in 2025, driven by approximately $34 million of benefits from the Fit to Win initiative. These benefits were partially offset by approximately $31 million related to higher operating costs associated with recent plant restructuring actions, two furnace events and other higher costs. The effects of foreign currency exchange rates decreased segment operating profit by $1 million in the second quarter of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its Fit to Win initiative, t</w:t>
      </w:r>
      <w:r>
        <w:rPr>
          <w:rFonts w:ascii="Times New Roman;Times;serif" w:hAnsi="Times New Roman;Times;serif"/>
          <w:color w:val="212529"/>
          <w:sz w:val="20"/>
        </w:rPr>
        <w:t xml:space="preserve">he Company will continue to monitor business trends and consider whether any additional temporary downtime or permanent capacity closures in Europe will be necessary in future periods to align its business with demand trends.  Any permanent capacity closures could result in material restructuring and impairment charges, as well as cash expenditures, in future periods.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Interest Expense, Net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interest expense in the second quarter of 2026 was $86 million compared to $85 million in the second quarter of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Provision for Income Taxes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effective tax rate from operations for the second quarter of 2026 was (17%) compared to 86% for the second quarter of 2025.  The effective tax rate for the second quarter of 2026 differed from the second quarter of 2025 due to non-deductible goodwill impairment charges, the additional $96 million change in European valuation allowance on deferred tax assets and a change in the mix of geographic earnings in the second quarter of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second quarter of 2026, the Company recorded a net loss attributable to the Company of $972 million, or $6.33 per share, compared to a net loss attributable to the Company of $5 million, or $0.03 per share, in the second quarter of 2025. Net loss attributable to the Company in the second quarter of 2026 and 2025 included items that management considers not representative of ongoing operations and other adjustments as set forth in the following table (dollars in millions).</w:t>
      </w:r>
    </w:p>
    <w:tbl>
      <w:tblPr>
        <w:tblW w:w="10057" w:type="dxa"/>
        <w:jc w:val="left"/>
        <w:tblInd w:w="0" w:type="dxa"/>
        <w:tblLayout w:type="fixed"/>
        <w:tblCellMar>
          <w:top w:w="0" w:type="dxa"/>
          <w:left w:w="0" w:type="dxa"/>
          <w:bottom w:w="0" w:type="dxa"/>
          <w:right w:w="0" w:type="dxa"/>
        </w:tblCellMar>
      </w:tblPr>
      <w:tblGrid>
        <w:gridCol w:w="7816"/>
        <w:gridCol w:w="346"/>
        <w:gridCol w:w="211"/>
        <w:gridCol w:w="541"/>
        <w:gridCol w:w="346"/>
        <w:gridCol w:w="211"/>
        <w:gridCol w:w="586"/>
      </w:tblGrid>
      <w:tr>
        <w:trPr/>
        <w:tc>
          <w:tcPr>
            <w:tcW w:w="7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4963160" cy="175260"/>
                      <wp:effectExtent l="0" t="0" r="0" b="0"/>
                      <wp:wrapNone/>
                      <wp:docPr id="658" name="Frame657"/>
                      <a:graphic xmlns:a="http://schemas.openxmlformats.org/drawingml/2006/main">
                        <a:graphicData uri="http://schemas.microsoft.com/office/word/2010/wordprocessingShape">
                          <wps:wsp>
                            <wps:cNvSpPr txBox="1"/>
                            <wps:spPr>
                              <a:xfrm>
                                <a:off x="0" y="0"/>
                                <a:ext cx="496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19710" cy="175260"/>
                      <wp:effectExtent l="0" t="0" r="0" b="0"/>
                      <wp:wrapNone/>
                      <wp:docPr id="659" name="Frame6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33985" cy="175260"/>
                      <wp:effectExtent l="0" t="0" r="0" b="0"/>
                      <wp:wrapNone/>
                      <wp:docPr id="660" name="Frame6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343535" cy="175260"/>
                      <wp:effectExtent l="0" t="0" r="0" b="0"/>
                      <wp:wrapNone/>
                      <wp:docPr id="661" name="Frame66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19710" cy="175260"/>
                      <wp:effectExtent l="0" t="0" r="0" b="0"/>
                      <wp:wrapNone/>
                      <wp:docPr id="662" name="Frame6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33985" cy="175260"/>
                      <wp:effectExtent l="0" t="0" r="0" b="0"/>
                      <wp:wrapNone/>
                      <wp:docPr id="663" name="Frame6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372110" cy="175260"/>
                      <wp:effectExtent l="0" t="0" r="0" b="0"/>
                      <wp:wrapNone/>
                      <wp:docPr id="664" name="Frame66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Loss</w:t>
            </w:r>
          </w:p>
        </w:tc>
      </w:tr>
      <w:tr>
        <w:trPr/>
        <w:tc>
          <w:tcPr>
            <w:tcW w:w="7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78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7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7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Restructuring, asset impairment and other charges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7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Gain on sale of joint venture and misc. assets </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7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for note repurchase premiums and write-off of deferred finance fees and related charges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7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European valuation allowance on deferred tax assets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7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European investment tax incentive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impact of non-controlling interests on items above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 — 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first six months of 2026 decreased $66 million, or approximately 2%, compared to the same period in the prior year, primarily due to the impact from lower sales volumes and lower average selling prices, partially offset by favorable foreign currency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Loss before income taxes changed by $906 million in the first six months of 2026 compared to earnings before income taxes in the same period in 2025. This change was primarily due to a </w:t>
      </w:r>
      <w:r>
        <w:rPr>
          <w:rFonts w:ascii="Times New Roman;Times;serif" w:hAnsi="Times New Roman;Times;serif"/>
          <w:color w:val="212529"/>
          <w:sz w:val="20"/>
          <w:shd w:fill="FFFFFF" w:val="clear"/>
        </w:rPr>
        <w:t xml:space="preserve">goodwill impairment </w:t>
      </w:r>
      <w:r>
        <w:rPr>
          <w:rFonts w:ascii="Times New Roman;Times;serif" w:hAnsi="Times New Roman;Times;serif"/>
          <w:sz w:val="20"/>
        </w:rPr>
        <w:t>and lower segment operating profit in Europe.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operating profit of reportable segments in the first half of 2026 was $121 million lower compared to the same period in the prior year, primarily due to lower net prices (net of cost inflation) and lower sales volumes, partially offset by lower operating costs and the favorable impact of foreign currency translation. Operating costs were favorably impacted by benefits from the Company’s Fit to Win initiative, partially offset by temporary production curtailments and furnace events and operational disruptions following recent plant restructuring actions and other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interest expense in the first six months of 2026 decreased $1 million compared to the same period in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first six months of 2026, the Company recorded net loss attributable to the Company of $1,046 million, or $6.83 per share, compared to a net loss attributable to the Company of $20 million, or $0.13 per share, in the first six months of 2025. As discussed below, net loss attributable to the Company in 2026 and 2025 included items that management considers not representative of ongoing operations and other adjustments. These items increased net loss attributable to the Company by $1,067 million, or $6.97 per share, in the first half of 2026 and increased net loss attributable to the Company by $165 million, or $1.06 per share, in the first half of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 First Six Months of 2026 Compared with First Six Months of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Sales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Company’s net sales in the first half of 2026 were $3,207 million compared with $3,273 million in the first half of 2025, a decrease of $66 million, or approximately 2%. Average selling prices declined, which decreased net sales by $9 million in the first six months of 2026. Glass container shipments, in tons, were down approximately 7% in the first half of 2026 (down approximately 6% excluding the impact of a divestiture), which decreased net sales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approximately $215 million compared to the same period in the prior year. The Company believes that several factors contributed to lower volumes in the first half of 2026, including softer demand in the beer, wine and spirits categories, tougher comparisons as the first half of 2025 likely benefitted from higher demand ahead of new U.S. tariffs, competitive pressures, primarily in Europe, and constrained sales opportunities resulting from several furnace events and operational disruptions following recent plant restructuring actions. Food and non-alcoholic beverage glass container sales continue to perform better than beer, wine and spirits sales. Favorable foreign currency exchange rates increased net sales by $179 million in the first half of 2026 compared to the same period in the prior year. Other sales were approximately $21 million lower in the first six months of 2026 than in the same period in the prior year, driven by the divestiture of a plant in the fourth quarter of 2025 in the former Asia Pacific region.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change in net sales of reportable segments can be summarized as follows (dollars in millions):</w:t>
      </w:r>
    </w:p>
    <w:tbl>
      <w:tblPr>
        <w:tblW w:w="5962" w:type="dxa"/>
        <w:jc w:val="left"/>
        <w:tblInd w:w="0" w:type="dxa"/>
        <w:tblLayout w:type="fixed"/>
        <w:tblCellMar>
          <w:top w:w="0" w:type="dxa"/>
          <w:left w:w="0" w:type="dxa"/>
          <w:bottom w:w="0" w:type="dxa"/>
          <w:right w:w="0" w:type="dxa"/>
        </w:tblCellMar>
      </w:tblPr>
      <w:tblGrid>
        <w:gridCol w:w="3631"/>
        <w:gridCol w:w="346"/>
        <w:gridCol w:w="211"/>
        <w:gridCol w:w="541"/>
        <w:gridCol w:w="346"/>
        <w:gridCol w:w="211"/>
        <w:gridCol w:w="67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305685" cy="175260"/>
                      <wp:effectExtent l="0" t="0" r="0" b="0"/>
                      <wp:wrapNone/>
                      <wp:docPr id="665" name="Frame664"/>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19710" cy="175260"/>
                      <wp:effectExtent l="0" t="0" r="0" b="0"/>
                      <wp:wrapNone/>
                      <wp:docPr id="666" name="Frame6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33985" cy="175260"/>
                      <wp:effectExtent l="0" t="0" r="0" b="0"/>
                      <wp:wrapNone/>
                      <wp:docPr id="667" name="Frame6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343535" cy="175260"/>
                      <wp:effectExtent l="0" t="0" r="0" b="0"/>
                      <wp:wrapNone/>
                      <wp:docPr id="668" name="Frame66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19710" cy="175260"/>
                      <wp:effectExtent l="0" t="0" r="0" b="0"/>
                      <wp:wrapNone/>
                      <wp:docPr id="669" name="Frame6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133985" cy="175260"/>
                      <wp:effectExtent l="0" t="0" r="0" b="0"/>
                      <wp:wrapNone/>
                      <wp:docPr id="670" name="Frame6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429260" cy="175260"/>
                      <wp:effectExtent l="0" t="0" r="0" b="0"/>
                      <wp:wrapNone/>
                      <wp:docPr id="671" name="Frame6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net sales - 2025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volume and mix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changing foreign currency rates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179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effect on reportable segment 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net sales - 2026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3,178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Americas: Net sales in the Americas in the first six months of 2026 were $1,819 million compared to $1,816 million in the first six months of 2025, an increase of $3 million, or less than 1%. Higher selling prices in the region increased net sales by $59 million in the first half of 2026. Glass container shipments were approximately 8% lower in the first six months of 2026, which decreased net sales by approximately $156 million, due to challenging prior year comparisons, soft demand in the beer and wine categories, ongoing customer inventory adjustments in spirits and a furnace event that constrained sales opportunities. Sales trends were more stable in the food and non-alcoholic beverage categories. Sales volumes in the first half of 2026 throughout the segment were down in North America and Mexico and up in South America compared to the same period in 2025. The favorable effects of foreign currency exchange rate changes increased net sales by $100 million in the first six months of 2026 compared to the same period in 2025, as the Brazilian Real, Colombian Peso and Mexican Peso strengthened compared to the U.S. dollar.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Europe: Net sales in Europe in the first six months of 2026 were $1,359 million compared to $1,407 million in the first six months of 2025, a decrease of $48 million, or approximately 3%. Lower average selling prices in Europe decreased net sales by $68 million in the first half of 2026. Glass container shipments decreased by approximately 4% in the first half of 2026, which decreased net sales by approximately $59 million. The Company believes that net sales in the first six months of 2026 were adversely impacted by competitive price pressure in select markets, tougher comparisons, as the first half of 2025 likely benefitted from higher demand ahead of new U.S. tariffs, and operational disruptions following recent plant restructuring actions that constrained sales opportunities. Lower shipments were most pronounced to wine customers across Southern Europe. Favorable effects of foreign currency exchange rate changes increased net sales by $79 million in the first half of 2026 compared to the same period in the prior year, as the Euro strengthened compared to the U.S. dollar.</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Earnings (Loss) before Income Taxes and Segment Operating Profit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Loss before income taxes was $880 million in the first six months of 2026 compared to earnings before income taxes of $26 million in the first six months of 2025, a change of $906 million.  This change was primarily due to a goodwill impairment and lower segment operating profit in Europe.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operating profit of the reportable segments includes an allocation of some corporate expenses based on a percentage of sales and direct billings based on the costs of specific services provided. Unallocated corporate expenses and certain other expenses not directly related to the reportable segments’ operations are included in Retained corporate costs and other. For further information, see Segment Information included in Note 1 to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operating profit of reportable segments in the first half of 2026 was $313 million, compared to $434 million in the first half of 2025, a decrease of $121 million, or 28%. This decrease was primarily due to lower net prices (net of cost inflation) and lower sales volumes. Operating costs were lower and favorably impacted by approximately $91 million of benefits from the Company’s Fit to Win initiative (consistent with management’s expectations), partially offset by approximately $71 million related to temporary production curtailments, furnace events and operational disruptions following recent plant restructuring actions and other costs. Favorable foreign currency exchange rates increased segment operating profit by $22 million in the first half of 2026 compared to the same period in the prior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change in segment operating profit of reportable segments can be summarized as follows (dollars in millions):</w:t>
      </w:r>
    </w:p>
    <w:tbl>
      <w:tblPr>
        <w:tblW w:w="6757" w:type="dxa"/>
        <w:jc w:val="left"/>
        <w:tblInd w:w="0" w:type="dxa"/>
        <w:tblLayout w:type="fixed"/>
        <w:tblCellMar>
          <w:top w:w="0" w:type="dxa"/>
          <w:left w:w="0" w:type="dxa"/>
          <w:bottom w:w="0" w:type="dxa"/>
          <w:right w:w="0" w:type="dxa"/>
        </w:tblCellMar>
      </w:tblPr>
      <w:tblGrid>
        <w:gridCol w:w="4516"/>
        <w:gridCol w:w="346"/>
        <w:gridCol w:w="211"/>
        <w:gridCol w:w="541"/>
        <w:gridCol w:w="346"/>
        <w:gridCol w:w="211"/>
        <w:gridCol w:w="586"/>
      </w:tblGrid>
      <w:tr>
        <w:trPr/>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867660" cy="175260"/>
                      <wp:effectExtent l="0" t="0" r="0" b="0"/>
                      <wp:wrapNone/>
                      <wp:docPr id="672" name="Frame671"/>
                      <a:graphic xmlns:a="http://schemas.openxmlformats.org/drawingml/2006/main">
                        <a:graphicData uri="http://schemas.microsoft.com/office/word/2010/wordprocessingShape">
                          <wps:wsp>
                            <wps:cNvSpPr txBox="1"/>
                            <wps:spPr>
                              <a:xfrm>
                                <a:off x="0" y="0"/>
                                <a:ext cx="286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19710" cy="175260"/>
                      <wp:effectExtent l="0" t="0" r="0" b="0"/>
                      <wp:wrapNone/>
                      <wp:docPr id="673" name="Frame6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33985" cy="175260"/>
                      <wp:effectExtent l="0" t="0" r="0" b="0"/>
                      <wp:wrapNone/>
                      <wp:docPr id="674" name="Frame6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343535" cy="175260"/>
                      <wp:effectExtent l="0" t="0" r="0" b="0"/>
                      <wp:wrapNone/>
                      <wp:docPr id="675" name="Frame67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19710" cy="175260"/>
                      <wp:effectExtent l="0" t="0" r="0" b="0"/>
                      <wp:wrapNone/>
                      <wp:docPr id="676" name="Frame6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33985" cy="175260"/>
                      <wp:effectExtent l="0" t="0" r="0" b="0"/>
                      <wp:wrapNone/>
                      <wp:docPr id="677" name="Frame6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372110" cy="175260"/>
                      <wp:effectExtent l="0" t="0" r="0" b="0"/>
                      <wp:wrapNone/>
                      <wp:docPr id="678" name="Frame67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operating profit - 2025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4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price (net of cost inflation)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4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volume and mix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4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4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changing foreign currency rates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4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effect on reportable segment operating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4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operating profit - 2026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Americas: Segment operating profit in the Americas was $307 million in the first six months of 2026, compared to $276 million in the first six months of 2025, an increase of $31 million, or approximately 11%. Higher selling prices exceeded higher cost inflation and resulted in a $32 million increase to segment operating profit in the first half of 2026. The impact of lower shipments discussed above, partially offset by an improved mix, decreased segment operating profit by $25 million in the first half of 2026 compared to the same period in 2025. The effects of foreign currency exchange rates increased segment operating profit by $17 million in the first six months of 2026.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operating costs in the first half of 2026 were $7 million lower than in the same period in the prior year, primarily due to approximately $37 million in savings from the Company’s Fit to Win initiative. These benefits were partially offset by approximately $30 million from temporary production curtailments to balance supply and demand, several external disruptions, including extreme weather in North America, civil unrest in Mexico and a natural gas pipeline outage in Peru, costs incurred related to a furnace event and the nonoccurrence of a $7 million insurance settlement recorded in the first half of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part of its Fit to Win initiative, t</w:t>
      </w:r>
      <w:r>
        <w:rPr>
          <w:rFonts w:ascii="Times New Roman;Times;serif" w:hAnsi="Times New Roman;Times;serif"/>
          <w:color w:val="212529"/>
          <w:sz w:val="20"/>
        </w:rPr>
        <w:t xml:space="preserve">he Company will continue to monitor business trends and consider whether any additional temporary downtime or permanent capacity closures in the Americas will be necessary in future periods to align its business with demand trends.  Any permanent capacity closures could result in material restructuring and impairment charges, as well as cash expenditures, in future periods.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Europe: Segment operating profit in Europe was $6 million in the first six months of 2026 compared to $158 million in the first six months of 2025, a decrease of $152 million, or approximately 96%. Lower net selling prices (net of cost inflation) decreased segment operating profit by $161 million in the first half of 2026 compared to the same period in 2025 due to a step-up in energy costs following the expiration of favorable energy contracts at the end of 2025 and elevated competitive pressures. The impact of lower shipments discussed above decreased segment operating profit by approximately $9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Partially offsetting this was the benefit of $13 million of lower operating costs in the first half of 2026 compared to the same period in 2025, driven by approximately $54 million of benefits from the Fit to Win initiative. These benefits were partially offset by approximately $41 million related to operational disruptions following recent plant restructuring actions, two furnace events, temporary production curtailments to balance supply and demand and other higher costs. The effects of foreign currency exchange rates increased segment operating profit by $5 million in the first six months of 2026.</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part of its Fit to Win initiative, t</w:t>
      </w:r>
      <w:r>
        <w:rPr>
          <w:rFonts w:ascii="Times New Roman;Times;serif" w:hAnsi="Times New Roman;Times;serif"/>
          <w:color w:val="212529"/>
          <w:sz w:val="20"/>
        </w:rPr>
        <w:t xml:space="preserve">he Company will continue to monitor business trends and consider whether any additional temporary downtime or permanent capacity closures in Europe will be necessary in future periods to align 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40"/>
        <w:ind w:left="0" w:right="0" w:hanging="0"/>
        <w:jc w:val="left"/>
        <w:rPr>
          <w:rFonts w:ascii="Times New Roman;Times;serif" w:hAnsi="Times New Roman;Times;serif"/>
          <w:color w:val="212529"/>
          <w:sz w:val="20"/>
        </w:rPr>
      </w:pPr>
      <w:r>
        <w:rPr>
          <w:rFonts w:ascii="Times New Roman;Times;serif" w:hAnsi="Times New Roman;Times;serif"/>
          <w:color w:val="212529"/>
          <w:sz w:val="20"/>
        </w:rPr>
        <w:t xml:space="preserve">business with demand trends.  Any permanent capacity closures could result in material restructuring and impairment charges, as well as cash expenditures, in future periods.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Interest Expense, Net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interest expense in the first six months of 2026 was $165 million compared to $166 million in the first six months of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Provision for Income Taxes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effective tax rate from operations for the six months ended June 30, 2026 was (18%) compared to 139% for the six months ended June 30, 2025.  The effective tax rate for the first half of 2026 differed from the first half of 2025 due to non-deductible goodwill impairment charges, the additional $96 million change in European valuation allowance on deferred tax assets and a change in the mix of geographic earnings in the second quarter of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Earnings (Loss) Attributable to the Company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first six months of 2026, the Company recorded a net loss attributable to the Company of $1,046 million, or $6.83 per share, compared to a net loss attributable to the Company of $20 million, or $0.13 per share, in the first six months of 2025. Net loss attributable to the Company in the first half of 2026 and 2025 included items that management considers not representative of ongoing operations and other adjustments as set forth in the following table (dollars in millions).</w:t>
      </w:r>
    </w:p>
    <w:p>
      <w:pPr>
        <w:pStyle w:val="TextBody"/>
        <w:bidi w:val="0"/>
        <w:spacing w:before="0" w:after="0"/>
        <w:ind w:left="0" w:right="0" w:hanging="0"/>
        <w:jc w:val="left"/>
        <w:rPr/>
      </w:pPr>
      <w:r>
        <w:rPr/>
        <w:t>​</w:t>
      </w:r>
    </w:p>
    <w:tbl>
      <w:tblPr>
        <w:tblW w:w="9970" w:type="dxa"/>
        <w:jc w:val="left"/>
        <w:tblInd w:w="0" w:type="dxa"/>
        <w:tblLayout w:type="fixed"/>
        <w:tblCellMar>
          <w:top w:w="0" w:type="dxa"/>
          <w:left w:w="0" w:type="dxa"/>
          <w:bottom w:w="0" w:type="dxa"/>
          <w:right w:w="0" w:type="dxa"/>
        </w:tblCellMar>
      </w:tblPr>
      <w:tblGrid>
        <w:gridCol w:w="7816"/>
        <w:gridCol w:w="346"/>
        <w:gridCol w:w="211"/>
        <w:gridCol w:w="691"/>
        <w:gridCol w:w="109"/>
        <w:gridCol w:w="211"/>
        <w:gridCol w:w="586"/>
      </w:tblGrid>
      <w:tr>
        <w:trPr/>
        <w:tc>
          <w:tcPr>
            <w:tcW w:w="7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4963160" cy="175260"/>
                      <wp:effectExtent l="0" t="0" r="0" b="0"/>
                      <wp:wrapNone/>
                      <wp:docPr id="679" name="Frame678"/>
                      <a:graphic xmlns:a="http://schemas.openxmlformats.org/drawingml/2006/main">
                        <a:graphicData uri="http://schemas.microsoft.com/office/word/2010/wordprocessingShape">
                          <wps:wsp>
                            <wps:cNvSpPr txBox="1"/>
                            <wps:spPr>
                              <a:xfrm>
                                <a:off x="0" y="0"/>
                                <a:ext cx="496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19710" cy="175260"/>
                      <wp:effectExtent l="0" t="0" r="0" b="0"/>
                      <wp:wrapNone/>
                      <wp:docPr id="680" name="Frame6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33985" cy="175260"/>
                      <wp:effectExtent l="0" t="0" r="0" b="0"/>
                      <wp:wrapNone/>
                      <wp:docPr id="681" name="Frame6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438785" cy="175260"/>
                      <wp:effectExtent l="0" t="0" r="0" b="0"/>
                      <wp:wrapNone/>
                      <wp:docPr id="682" name="Frame6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69215" cy="175260"/>
                      <wp:effectExtent l="0" t="0" r="0" b="0"/>
                      <wp:wrapNone/>
                      <wp:docPr id="683" name="Frame6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33985" cy="175260"/>
                      <wp:effectExtent l="0" t="0" r="0" b="0"/>
                      <wp:wrapNone/>
                      <wp:docPr id="684" name="Frame6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372110" cy="175260"/>
                      <wp:effectExtent l="0" t="0" r="0" b="0"/>
                      <wp:wrapNone/>
                      <wp:docPr id="685" name="Frame68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Earnings</w:t>
            </w:r>
          </w:p>
        </w:tc>
      </w:tr>
      <w:tr>
        <w:trPr/>
        <w:tc>
          <w:tcPr>
            <w:tcW w:w="7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0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78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7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7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asset impairment and other charges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7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Legacy environmental charge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Gain (loss) on sale of joint venture and misc. assets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for note repurchase premiums and write-off of deferred finance fees and 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7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European valuation allowance on deferred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7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European investment tax incentive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benefit for income tax on items above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impact of non-controlling interests on items above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Operational and Financial Information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 xml:space="preserve">Globally, shipments declined approximately 5% year-over-year in the second quarter of 2026, with June 2026 volumes flat versus the prior year June. Demand remains below management’s original expectations. The pace of recovery has been difficult to predict against a backdrop of sluggish consumer demand and customer destocking in certain markets. Looking ahead, the Company expects growth in the second half of 2026, supported by easier comparisons and new business wins. At the same time, management expects a more gradual pace of recovery as the Company attempts to improve its operating performance.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rPr>
              <w:t xml:space="preserve">Net prices (net of cost inflation) are expected to be unfavorable in 2026 and assumes approximately $150 million of higher energy costs in Europe as certain energy contracts are reset at higher cost levels, as well as </w:t>
            </w:r>
            <w:r>
              <w:rPr>
                <w:rFonts w:ascii="Times New Roman;Times;serif" w:hAnsi="Times New Roman;Times;serif"/>
                <w:b w:val="false"/>
                <w:i w:val="false"/>
                <w:caps w:val="false"/>
                <w:smallCaps w:val="false"/>
                <w:sz w:val="20"/>
              </w:rPr>
              <w:t>$75 million to $100 million of additional inflation through further energy market inflation as a result of Middle East conflicts.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To help limit energy-cost exposure, the Company has secured approximately 75–80% of its European natural-gas requirements for 2026 at rates favorable to current index prices.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Management anticipates generating approximately $200 million of Fit to Win benefits in 2026. On a cumulative basis, the Company expects at least $650 million of Fit to Win benefits through 2027 (with 2024 as a baseline).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Cash provided by operating activities is expected to range between approximately $275 million and $375 million for 2026, assuming the inclusion of approximately $150 million of restructuring payments. Capital expenditures in 2026 are expected to be approximately $425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Company is also realigning its 2027 targets and expects adjusted EBITDA of $1.2 billion to $1.3 billion. This assumes a slower recovery path in Europe, including continued commercial pressure, gradual improvement in industry utilization rates, elevated energy costs, and the revised Fit to Win outlook as the Company attempts to resolve European operational disruptions.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Items Excluded from Reportable Segment Totals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Retained Corporate Costs and Other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Retained corporate costs and other for the second quarter of 2026 were $24 million compared to $25 million in the second quarter of 2025 and were $56 million in the first six months of 2026 compared to $53 million for the same period in 2025. These costs were impacted in the second quarter and first six months of 2026, primarily due to lower management incentive expenses, higher expenses related to transformation activities, lower recharges to the regions due to decreasing costs, partially offset by approximately $12 million and $24 million of benefits from the Company’s Fit to Win initiative in the second quarter of 2026 and the first six months of 2026, respectively (consistent with management’s expectations).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Charge for Goodwill Impairment</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part of its on-going assessment of goodwill, the Company determined that indicators of impairment occurred during the second quarter of 2026, including a significant reduction of its share price and lower projected earnings and cash flow from its European operations.  The Company's business in Europe has experienced a combination of softer demand and an increasingly competitive market backdrop, which pressured price amid low-capacity utilization. In the second quarter of 2026, higher operating costs associated with recent plant restructuring actions in Europe also impacted operations more negatively. Higher global energy costs in Europe are also expected in future periods driven by the conflicts in the Middle East.  These factors, combined with the narrow difference between the estimated fair value and carrying value of the Europe reporting unit as of December 31, 2025, resulted in the Company performing an interim impairment analysis during the second quarter of 2026.  As a result, the Company recorded a non-cash impairment charge of $873 million in the second quarter of 2026, which was equal to the excess of the Europe reporting unit's carrying value over its fair value and resulted in a complete impairment of Europe’s goodwill balance. Goodwill related to the Company’s Latin America reporting unit (Americas segment) was determined to not be impaired as a result of the interim impairment analysis, and no goodwill remains on the Company's North America reporting unit.</w:t>
      </w:r>
    </w:p>
    <w:p>
      <w:pPr>
        <w:pStyle w:val="TextBody"/>
        <w:pBdr/>
        <w:shd w:fill="FFFFFF" w:val="clear"/>
        <w:bidi w:val="0"/>
        <w:spacing w:before="0" w:after="0"/>
        <w:ind w:left="0" w:right="0" w:firstLine="360"/>
        <w:jc w:val="left"/>
        <w:rPr>
          <w:rFonts w:ascii="Times New Roman;Times;serif" w:hAnsi="Times New Roman;Times;serif"/>
          <w:color w:val="212529"/>
          <w:sz w:val="20"/>
        </w:rPr>
      </w:pPr>
      <w:r>
        <w:rPr>
          <w:rFonts w:ascii="Times New Roman;Times;serif" w:hAnsi="Times New Roman;Times;serif"/>
          <w:color w:val="212529"/>
          <w:sz w:val="20"/>
        </w:rPr>
        <w:t>See Note 5 to the Condensed Consolidated Financial Statements for further information.</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Restructuring, Asset Impairment and Other Charges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three and six months ended June 30, 2026, the Company recorded restructuring, asset impairment and other charges of approximately $17 million and $55 million, respectively, to Other expense, net in the Condensed Consolidated Results of Operations, all of which related to the Fit to Win program. For the three months ended June 30, 2026, these charges consisted of employee costs, such as severance and benefit-related costs, write-down of assets and other exit costs in the Americas segment ($4 million), and in the Europe segment ($13 million). For the six months ended June 30, 2026, these charges consisted of employee costs, such as severance and benefit-related costs, write-down of assets and other exit costs in the Americas segment ($7 million), Europe segment ($44 million) and Retained corporate costs and other ($4 million). Additional restructuring charges are expected in future quarters when management completes its assessment to reduce redundant production capacity and streamline costs.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expects that the majority of the remaining cash expenditures related to the accrued employee and other exit costs will be paid out over the next several years.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three and six months ended June 30, 2025, the Company recorded restructuring, asset impairment and other charges of approximately $108 million (which included $104 million related to its decision to halt the MAGMA program) and $191 million, respectively, to Other expense, net in the Condensed Consolidated Results of Operations, of which all related to the Fit to Win program. For the three months ended June 30, 2025, these charges consisted of employee costs, such as severance and benefit-related costs, write-down of assets and other exit costs in the Americas segment ($45 million), Europe segment ($3 million) and Retained corporate costs and other ($60 million). For the six months ended June 30, 2025, these charges consisted of employee costs, such as severance and benefit-related costs, write-down of assets and other exit costs in the Americas segment ($52 million), Europe segment ($55 million) and Retained corporate costs and other ($84 million).</w:t>
      </w:r>
    </w:p>
    <w:p>
      <w:pPr>
        <w:pStyle w:val="TextBody"/>
        <w:pBdr/>
        <w:shd w:fill="FFFFFF" w:val="clear"/>
        <w:bidi w:val="0"/>
        <w:spacing w:before="0" w:after="0"/>
        <w:ind w:left="0" w:right="0" w:firstLine="360"/>
        <w:jc w:val="left"/>
        <w:rPr>
          <w:rFonts w:ascii="Times New Roman;Times;serif" w:hAnsi="Times New Roman;Times;serif"/>
          <w:color w:val="212529"/>
          <w:sz w:val="20"/>
        </w:rPr>
      </w:pPr>
      <w:r>
        <w:rPr>
          <w:rFonts w:ascii="Times New Roman;Times;serif" w:hAnsi="Times New Roman;Times;serif"/>
          <w:color w:val="212529"/>
          <w:sz w:val="20"/>
        </w:rPr>
        <w:t>See Note 7 to the Condensed Consolidated Financial Statements for further information.</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Gain (Loss) on Sale of Miscellaneous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the second quarter of 2026, the Company recorded pre-tax gains of approximately $2 million on the sale of land from a previously closed plant in the Americas. In the first six months of 2026, the Company recorded pre-tax losses of approximately $44 million, primarily related to the sale of its share of a joint venture in the former Asia Pacific region. </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first six months of 2025, the Company recorded pre-tax gains of approximately $6 million on the sale of land and buildings of a previously closed plant in the Americas.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Legacy Environmental Charge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December 31, 1956 through June 1967, the Company, via a wholly-owned subsidiary, owned and operated a paper mill located on the shore of the Cuyahoga River in Ohio, which is now part of the Cuyahoga Valley National Park that is managed by the National Park Service (“NPS”).  The Company and the United States had been engaged in litigation regarding the site in the U.S. District Court for the Northern District of Ohio (Akron), with the United States claiming that the Company should pay $50 million as a remedy for certain soils at the site as well as its past and anticipated future costs. In the first quarter of 2025, the Company and the NPS reached a tentative settlement, and the Company recorded a charge of approximately $4 million to Other expense, net in the Condensed Consolidated Results of Operations to augment its previous accrual balance related to this matter. In the third quarter of 2025, the consent order between the parties was approved by the U.S. District Court, and the Company paid $16.5 million to resolve this matter.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Resources and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September 30, 2025, certain of the Company’s subsidiaries entered into an Amended and Restated Credit Agreement and Syndicated Facility Agreement (the “Credit Agreement”), which refinanced in full the previous credit agreement. The Credit Agreement provides for up to $2.7 billion of borrowings pursuant to term loans A, term loans B and a revolving credit facility. The term loans A mature, and the revolving credit facility terminates, in September 2030, and the term loans B mature in September 2032; provided, however, that if any of the senior notes issued by certain subsidiaries of the Company are outstanding on the date that is 91 days prior to the maturity date for such senior notes (any such date, a “Springing Maturity Date”), then the term loans A, the revolving credit facility and the term loans B will mature and terminate, as applicable, on such Springing Maturity Date. Borrowings under the Credit Agreement are secured by certain collateral of the Company and certain of its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June 30, 2026, the Credit Agreement includes a $1.25 billion multicurrency revolving credit facility, the U.S. dollar equivalent of $800 million in term loan A facilities ($790 </w:t>
      </w:r>
      <w:r>
        <w:rPr>
          <w:rFonts w:ascii="Times New Roman;Times;serif" w:hAnsi="Times New Roman;Times;serif"/>
          <w:color w:val="212529"/>
          <w:sz w:val="20"/>
        </w:rPr>
        <w:t>million outstanding balance at June 30, 2026, net of debt issuance costs</w:t>
      </w:r>
      <w:r>
        <w:rPr>
          <w:rFonts w:ascii="Times New Roman;Times;serif" w:hAnsi="Times New Roman;Times;serif"/>
          <w:sz w:val="20"/>
        </w:rPr>
        <w:t xml:space="preserve">) and $650 million in term loan B facilities ($640 million outstanding balance at June 30, 2026, net of debt issuance costs). At June 30, 2026, the Company’s subsidiaries that are party to the Credit Agreement had unused credit of $1.11 billion available under the revolving credit facilities as part of the Credit Agreement. The weighted average interest rate on borrowings outstanding under the Credit Agreement at June 30, 2026 was 5.50%.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Credit Agreement contains various covenants that restrict, among other things and subject to certain exceptions, the ability of the Company to incur certain indebtedness and liens, make certain investments, become liable under contingent obligations in certain defined instances only, make restricted payments, make certain asset sales within guidelines and limits, engage in certain affiliate transactions, participate in sale and leaseback financing arrangements, alter its fundamental business, and amend certain subordinated debt obligations.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Credit Agreement also contains one financial maintenance covenant, a Secured Leverage Ratio, for the benefit of lenders under the term loans A and the revolving credit facility (and, following an acceleration of the term loans A and the revolving credit facility, for the benefit of the lenders under the term loans B) that requires the Company and certain of its subsidiaries, collectively, not to exceed a ratio of 2.50x calculated by dividing consolidated Net Indebtedness that is then secured by Liens on property or assets of the Company and certain of its subsidiaries by Consolidated EBITDA, as each such capitalized term is defined in the Credit Agreement. The Secured Leverage Ratio could restrict the ability of the Company and certain of its subsidiaries to undertake additional financing or acquisitions to the extent that such financing or acquisitions would cause the Secured Leverage Ratio to exceed the specified maximum.</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Failure to comply with these covenants and restrictions could result in an event of default under the Credit Agreement. In such an event, the applicable borrowers under the Credit Agreement would not be able to request borrowings under the revolving credit facility, and all amounts outstanding under the Credit Agreement, together with accrued interest, could then be declared immediately due and payable. Upon the occurrence and for the duration of a payment event of default, an additional default interest rate equal to 2.0% per annum will apply to all overdue obligations under the Credit Agreement.  If an event of default occurs under the Credit Agreement and the lenders cause all of the outstanding debt obligations under the Credit Agreement to become due and payable, this could result in a default under a number of other outstanding debt securities and could lead to an acceleration of obligations related to these debt securities.  As of June 30, 2026, the Company was in compliance with all covenants and restrictions in the Credit Agreement.  In addition, the Company believes that it will remain in compliance for the term of the Credit Agreement and that its ability to borrow additional funds under the Credit Agreement will not be adversely affected by the covenants and restrictions.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Total Leverage Ratio (as defined in the Credit Agreement) determines pricing under the Credit Agreement for the Term Loans A and the revolving credit facility. The interest rate on borrowings under the Credit Agreement is, at the option of the applicable borrower, the Base Rate, Term SOFR or, for non-U.S. Dollar borrowings only, the Eurocurrency Rate (each such capitalized term as defined in the Credit Agreement), plus an applicable margin. The applicable margin, for the Term Loans A and the revolving credit facility, ranges from 1.00% to 1.75% for Term SOFR loans and Eurocurrency Rate loans and from 0.00% to 0.75% for Base Rate loans. The applicable margin, for the Term Loans B, is 3.00% for Term SOFR loans. In addition, a commitment fee is payable on the unused revolving credit facility commitments ranging from 0.20% to 0.35% per annum, depending on the Total Leverage Ratio. </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Obligations under the Credit Agreement are secured by substantially all of the assets, excluding real estate and certain other excluded assets, of certain of the Company’s domestic subsidiaries and certain foreign subsidiaries. Such obligations are also secured by a pledge of intercompany debt and equity investments in certain of the Company’s domestic subsidiaries and, in the case of foreign obligations, of stock of certain foreign subsidiaries. All obligations under the Credit Agreement are guaranteed by certain domestic subsidiaries of the Company, and certain foreign obligations under the Credit Agreement are guaranteed by certain foreign subsidiaries of the Company.</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May 2026, the Company issued $500 million aggregate principal amount of senior notes that bear interest at 9.500% and mature on June 1, 2033. </w:t>
      </w:r>
      <w:r>
        <w:rPr>
          <w:rFonts w:ascii="Times New Roman;Times;serif" w:hAnsi="Times New Roman;Times;serif"/>
          <w:color w:val="212529"/>
          <w:sz w:val="20"/>
        </w:rPr>
        <w:t>The senior notes were issued via private placements and are guaranteed by certain of the Company’s subsidiaries. The net proceeds, after deducting debt issuance</w:t>
      </w:r>
      <w:r>
        <w:rPr>
          <w:rFonts w:ascii="Times New Roman;Times;serif" w:hAnsi="Times New Roman;Times;serif"/>
          <w:sz w:val="20"/>
        </w:rPr>
        <w:t xml:space="preserve"> </w:t>
      </w:r>
      <w:r>
        <w:rPr>
          <w:rFonts w:ascii="Times New Roman;Times;serif" w:hAnsi="Times New Roman;Times;serif"/>
          <w:color w:val="212529"/>
          <w:sz w:val="20"/>
        </w:rPr>
        <w:t>costs, were used to repurchase and redeem the aggregate principal amounts described in the May 2026 redemption below.</w:t>
      </w:r>
    </w:p>
    <w:p>
      <w:pPr>
        <w:pStyle w:val="TextBody"/>
        <w:shd w:fill="FFFFFF" w:val="clear"/>
        <w:bidi w:val="0"/>
        <w:spacing w:before="0" w:after="240"/>
        <w:ind w:left="0" w:right="0" w:firstLine="360"/>
        <w:jc w:val="left"/>
        <w:rPr>
          <w:rFonts w:ascii="Times New Roman;Times;serif" w:hAnsi="Times New Roman;Times;serif"/>
          <w:color w:val="212529"/>
          <w:sz w:val="20"/>
        </w:rPr>
      </w:pPr>
      <w:r>
        <w:rPr>
          <w:rFonts w:ascii="Times New Roman;Times;serif" w:hAnsi="Times New Roman;Times;serif"/>
          <w:color w:val="212529"/>
          <w:sz w:val="20"/>
        </w:rPr>
        <w:t>In May 2026, the Company redeemed $612 million aggregate principal amount of the outstanding 6.625% Senior Notes due 2027. The redemption was funded in part with the proceeds from the May 2026 senior notes issuances described above. The Company recorded approximately $1 million of additional interest charges related to this senior note redemption for the write-off of unamortized finance fees.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assesses its capital raising and refinancing needs on an ongoing basis and may enter into additional credit facilities and seek to issue equity and/or debt securities in the domestic and international capital markets if market conditions are favorable. Also, depending on market conditions, the Company may elect to repurchase portions of its debt securities in the open market.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Material Cash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the Company’s material cash requirements at June 30, 2026 from those described in Part II, Item 7, “Management's Discussion and Analysis of Financial Condition and Results of Operations - Capital Resources and Liquidity - Material Cash Requirements” in the Company’s Annual Report on Form 10-K for the year ended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Operating activities: Cash utilized by operating activities was $200 million and $16 million for the six months ended June 30, 2026 and 2025, respectively. </w:t>
      </w:r>
      <w:r>
        <w:rPr>
          <w:rFonts w:ascii="Times New Roman;Times;serif" w:hAnsi="Times New Roman;Times;serif"/>
          <w:sz w:val="20"/>
          <w:shd w:fill="FFFFFF" w:val="clear"/>
        </w:rPr>
        <w:t>The increase in cash utilized by operating activities in the first six months of 2026 was primarily due to a larger net loss, a higher use of working capital and an increase in cash paid for restructuring activities than in the same period in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Working capital was a use of cash of $381 million in the first six months of 2026, compared to a use of cash of $335 million in the same period in 2025. The higher use of cash from working capital for the six months ended June 30, 2026 reflects higher accounts receivable and lower accrued salaries compared to the same period in the prior year. The Company’s use of its accounts receivable factoring programs resulted in an increase to cash utilized by operating activities of approximately $35 million and cash provided by operating activities of approximately $9 million for the six months ended June 30, 2026 and 2025, respectively. Excluding the impact of accounts receivable factoring, the Company’s days sales outstanding as of June 30, 2026 were slightly higher compared to June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Investing activities: Cash utilized in investing activities was $232 million and $221 million for the first six months of 2026 and 2025, respectively. Capital spending for property, plant and equipment was $237 million during the first half of 2026, compared to $239 million in the same period in 2025. The Company estimates that its full year 2026 capital expenditures are expected to approximate $425 million. Net cash proceeds on the sale of a joint venture and miscellaneous assets were $7 million and $18 million for the first six months of 2026 and 2025,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Financing activities: Cash utilized in financing activities was $0 and $47 million for the first six months of 2026 and 2025, respectively. Financing activities included additions to long-term debt of $990 million and $680 million for the first half of 2026 and 2025, respectively. Financing activities included repayments of long-term debt of $986 million and $698 million for the first six months ended 2026 and 2025, respectively. Short-term loans increased by $27 million and $12 million for the first six months ended 2026 and 2025, respectively. During each of the first half of 2026 and 2025, the Company repurchased $10 million and $20 million, respectively, of its common stock. The Company intends to repurchase up to $40 million of shares of its common stock in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color w:val="212529"/>
          <w:sz w:val="20"/>
        </w:rPr>
        <w:t>The Company anticipates that cash flows from its opera</w:t>
        <w:softHyphen/>
        <w:t>tions and from utiliza</w:t>
        <w:softHyphen/>
        <w:t xml:space="preserve">tion of credit available under the revolving credit </w:t>
      </w:r>
      <w:r>
        <w:rPr>
          <w:rFonts w:ascii="Times New Roman;Times;serif" w:hAnsi="Times New Roman;Times;serif"/>
          <w:sz w:val="20"/>
        </w:rPr>
        <w:t>facilities</w:t>
      </w:r>
      <w:r>
        <w:rPr>
          <w:rFonts w:ascii="Times New Roman;Times;serif" w:hAnsi="Times New Roman;Times;serif"/>
          <w:color w:val="212529"/>
          <w:sz w:val="20"/>
        </w:rPr>
        <w:t xml:space="preserve"> provided by the Credit Agreement will be sufficient to fund its operating and seasonal working capital needs, </w:t>
      </w:r>
      <w:r>
        <w:rPr>
          <w:rFonts w:ascii="Times New Roman;Times;serif" w:hAnsi="Times New Roman;Times;serif"/>
          <w:sz w:val="20"/>
        </w:rPr>
        <w:t>debt</w:t>
      </w:r>
      <w:r>
        <w:rPr>
          <w:rFonts w:ascii="Times New Roman;Times;serif" w:hAnsi="Times New Roman;Times;serif"/>
          <w:color w:val="212529"/>
          <w:sz w:val="20"/>
        </w:rPr>
        <w:t xml:space="preserve"> service and other obligations on a short-term (the next 12 months) and long-term basis (beyond the next 12 months). However, as the Company cannot predict the impact from tariffs and other changes in global trade policies and the outcome of the </w:t>
      </w:r>
      <w:r>
        <w:rPr>
          <w:rFonts w:ascii="Times New Roman;Times;serif" w:hAnsi="Times New Roman;Times;serif"/>
          <w:sz w:val="20"/>
        </w:rPr>
        <w:t>conflicts between Russia and Ukraine and in the Middle East</w:t>
      </w:r>
      <w:r>
        <w:rPr>
          <w:rFonts w:ascii="Times New Roman;Times;serif" w:hAnsi="Times New Roman;Times;serif"/>
          <w:color w:val="212529"/>
          <w:sz w:val="20"/>
        </w:rPr>
        <w:t xml:space="preserve"> and its impact on the Company’s customers and suppliers, the negative financial impact to the Company’s results cannot be reasonably estimated but could be material. The Company is actively managing its business to maintain cash flow, and it has significant liquidity. The Company believes that these factors will allow it to meet its anticipated funding requirements.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Company’s analysis and discussion of its financial condition and results of operations are based upon its Condensed Consolidated Financial Statements that have been prepared in accordance with accounting principles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generally accepted in the United States (“U.S. GAAP”). The preparation of financial statements in conformity with U.S. GAAP requires management to make estimates and assumptions that affect the reported amounts of assets, liabilities, revenues and expenses, and the disclosure of contingent assets and liabilities. The Company evaluates these estimates and assumptions on an ongoing basis. Estimates and assumptions are based on historical and other factors believed to be reasonable under the circumstances at the time the financial statements are issued.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The impact of, and any associated risks related to, estimates and assumptions are discussed within Management’s Discussion and Analysis of Financial Condition and Results of Operations, as well as in the Notes to the Condensed Consolidated Financial Statements, if applicable, where estimates and assumptions affect the Company’s reported and expected financial results.</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There have been no other material changes in critical accounting estimates at June 30, 2026 from those described in the Company’s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document contains “forward-looking” statements within the meaning of Section 21E of the Securities Exchange Act of 1934, as amended (the “Exchange Act”) and Section 27A of the Securities Act of 1933, as amended. Forward-looking statements reflect the Company’s current expectations and projections about future events at the time, and thus involve uncertainty and risk. The words “believe,” “expect,” “anticipate,” “will,” “could,” “would,” “should,” “may,” “plan,” “estimate,” “intend,” “predict,” “potential,” “continue,” “target,” “commit,” and the negatives of these words and other similar expressions generally identify forward-looking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It is possible that the Company’s future financial performance may differ from expectations due to a variety of factors including, but not limited to the following: (1) the Company’s ability to achieve expected benefits from cost management, efficiency improvements, and profitability initiatives, such as its Fit to Win initiative, including expected impacts from production curtailments, reduction in force and furnace closures, (2) the general credit, financial, political, economic, legal and competitive conditions in markets and countries where the Company has operations, including uncertainties related to economic and social conditions, trade policies and disputes, financial market conditions, disruptions in the supply chain, competitive pricing pressures, inflation or deflation, changes in tax rates, changes in laws or policies, legal proceedings involving the Company, war, civil disturbance or acts of terrorism, natural disasters, public health issues and weather, (3) cost and availability of raw materials, labor, energy and transportation (including impacts related to the current conflicts in the Middle East and between Russia and Ukraine and disruptions in supply of raw materials caused by transportation delays), (4) competitive pressures from other glass container producers and alternative forms of packaging or consolidation among competitors and customers, (5) changes in consumer preferences or customer inventory management practices, (6) the continuing consolidation of the Company’s customer base, (7) risks related to the development, deployment and use of artificial intelligence technologies, (8) the Company’s inability to improve glass melting technology in a cost-effective manner and introduce productivity, process and network optimization actions, (9) unanticipated supply chain and operational disruptions, including higher capital spending, (10) seasonality of customer demand, (11) the failure of the Company’s joint venture partners to meet their obligations or commit additional capital to the joint venture, (12) labor shortages, labor cost increases or strikes, (13) the Company’s ability to acquire or divest businesses, acquire and expand plants, integrate operations of acquired businesses and achieve expected benefits from acquisitions, divestitures or expansions, (14) the Company’s ability to generate sufficient future cash flows to ensure the Company’s goodwill is not impaired, (15) any increases in the underfunded status of the Company’s pension plans, (16) any failure or disruption of the Company’s information technology, or those of third parties on which the Company relies, or any cybersecurity or data privacy incidents affecting the Company or its third-party service providers, (17) risks related to the Company’s indebtedness or changes in capital availability or cost, including interest rate fluctuations and the ability of the Company to generate cash to service indebtedness and refinance debt on favorable terms, (18) risks associated with operating in foreign countries, (19) foreign currency fluctuations relative to the U.S. dollar, (20) changes in tax laws or global trade policies, (21) the Company’s ability to comply with various environmental legal requirements, (22) risks related to recycling and recycled content laws and regulations, (23) risks related to climate-change and air emissions, including related laws or regulations and increased ESG scrutiny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changing expectations from stakeholders, and the other risk factors discussed in the Company’s filings with the Securities and Exchange Commission.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It is not possible to foresee or identify all such factors. Any forward-looking statements in this document are based on certain assumptions and analyses made by the Company in light of its experience and perception of historical trends, current conditions, expected future developments, and other factors it believes are appropriate in the circumstances. Forward-looking statements are not a guarantee of future performance, and actual results or developments may differ materially from expectations. While the Company continually reviews trends and uncertainties affecting the Company’s results of operations and financial condition, the Company does not assume any obligation to update or supplement any particular forward-looking statements contained in this document, except where we are expressly required to do so by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698" w:name="Item3QuantitativeandQualitativeDisclosur"/>
      <w:bookmarkStart w:id="1699" w:name="_9d575d12_4fa7_476d_9fa8_730346dd66bb"/>
      <w:bookmarkEnd w:id="1698"/>
      <w:bookmarkEnd w:id="1699"/>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in market risk at June 30, 2026 from those described in the Company’s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bookmarkStart w:id="1700" w:name="Item4ControlsandProcedures_203132"/>
      <w:bookmarkStart w:id="1701" w:name="_d34a51b2_8759_4002_8084_0992c7bb379b"/>
      <w:bookmarkEnd w:id="1700"/>
      <w:bookmarkEnd w:id="1701"/>
      <w:r>
        <w:rPr>
          <w:rFonts w:ascii="Times New Roman;Times;serif" w:hAnsi="Times New Roman;Times;serif"/>
          <w:b/>
          <w:sz w:val="20"/>
        </w:rPr>
        <w:t>Item 4.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Also, the Company has investments in certain unconsolidated entities. As the Company does not control or manage these entities, its disclosure controls and procedures with respect to such entities are necessarily substantially more limited than those maintained with respect to its consolidated subsidiaries.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required by Rule 13a-15(b) of the Exchange Act, the Company carried out an evaluation, under the supervision and with the participation of management, including its Chief Executive Officer and Chief Financial Officer, of the effectiveness of the design and operation of the Company’s disclosure controls and procedures as of the end of the period covered by this report. Based on the foregoing, the Company’s Chief Executive Officer and Chief Financial Officer concluded that the Company’s disclosure controls and procedures were effective at the reasonable assurance level as of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required by Rule 13a-15(d) of the Exchange Act, the Company carried out an evaluation, under the supervision and with the participation of management, including its Chief Executive Officer and Chief Financial Officer, of any change in the Company’s internal control over financial reporting that has materially affected, or is reasonably likely to materially affect, the Company’s internal control over financial reporting. There have been no changes in the Company’s internal control over financial reporting during the fiscal quarter ended June 30, 2026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0" w:right="0" w:hanging="0"/>
        <w:jc w:val="center"/>
        <w:rPr>
          <w:rFonts w:ascii="Times New Roman;Times;serif" w:hAnsi="Times New Roman;Times;serif"/>
          <w:sz w:val="20"/>
        </w:rPr>
      </w:pPr>
      <w:bookmarkStart w:id="1702" w:name="PARTIIOTHERINFORMATION_893604"/>
      <w:bookmarkStart w:id="1703" w:name="_732b00a4_8845_44eb_8eb0_ff54696a3b37"/>
      <w:bookmarkEnd w:id="1702"/>
      <w:bookmarkEnd w:id="1703"/>
      <w:r>
        <w:rPr>
          <w:rFonts w:ascii="Times New Roman;Times;serif" w:hAnsi="Times New Roman;Times;serif"/>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704" w:name="Item1LegalProceedings_195664"/>
      <w:bookmarkEnd w:id="1704"/>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SEC regulations require the Company to disclose certain information about environmental proceedings if the Company reasonably believes that such proceedings may result in monetary sanctions above a stated threshold. The Company uses a threshold of $1 million for purposes of determining whether disclosure of any such proceedings is required.  Except as disclosed in Note 11 to the Condensed Consolidated Financial Statements, no such proceedings were pending or contemplated as of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further information on legal proceedings, see Note 11 to the Condensed Consolidated Financial Statements, which is included in Part I of this Quarterly Report and incorporated herein by reference.</w:t>
      </w:r>
    </w:p>
    <w:p>
      <w:pPr>
        <w:pStyle w:val="TextBody"/>
        <w:bidi w:val="0"/>
        <w:spacing w:before="0" w:after="240"/>
        <w:ind w:left="0" w:right="0" w:hanging="0"/>
        <w:jc w:val="left"/>
        <w:rPr>
          <w:rFonts w:ascii="Times New Roman;Times;serif" w:hAnsi="Times New Roman;Times;serif"/>
          <w:b/>
          <w:sz w:val="20"/>
        </w:rPr>
      </w:pPr>
      <w:bookmarkStart w:id="1705" w:name="Item1ARiskFactors_65790"/>
      <w:bookmarkStart w:id="1706" w:name="_48311431_4014_4ddf_b27e_c67e20415cec"/>
      <w:bookmarkEnd w:id="1705"/>
      <w:bookmarkEnd w:id="1706"/>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set forth below, there have been no material changes in risk factors at June 30, 2026 from those described in the Company’s Annual Report on Form 10-K for the year ended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Global Economic and Legal Environment—The global credit, financial, political, economic and legal environment could have a material adverse effect on operations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global credit, financial, political, economic and legal environment can be negatively impacted by numerous events or occurrences, including political events, trade policies and disputes, acts of terrorism, hostilities or wars, natural disasters and public health issues, such as a pandemic. For example, the current conflicts in the Middle East and between Russia and Ukraine, as well as any further escalation or expansion of these conflicts, and any related economic sanctions or other impacts could adversely impact the global credit, financial, economic and legal environment, which could have a material adverse effect on the Company’s operations,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Downturns in the business or financial condition of any of the Company’s customers or suppliers could result in a loss of revenues or a disruption in the supply of raw materials;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macroeconomic conditions, such as a recession or continued slowed economic growth and uncertainty surrounding international trade policies and regulations, changes in U.S. immigration policies, as well as disputes and protectionist measures, could negatively affect consumer demand for the Company’s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inflation, including as a result of imposition of or increase in tariffs and disruptions to the supply chains and restrictions of international shipping driven by geopolitical instability and conflicts, could negatively impact the Company’s costs for energy, labor, materials and services, and impact the Company’s profitability if increased costs are not fully passed on to customers through increased prices of the Company’s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policies governing the terms of foreign trade, and in particular increased trade restrictions, tariffs or taxes on imports or exports from or to countries where the Company manufactures or sells, or its customers sells, its products may affect the prices of and demand for the Company’s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Tightening of credit in financial markets or increasing interest rates could reduce the Company’s ability, as well as the ability of the Company’s customers and suppliers, to obtain future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Volatile market performance could affect the fair value of the Company’s pension assets and liabilities, potentially requiring the Company to make significant additional contributions to its pension plans to maintain prescribed funding levels, and may lead to adverse changes in the availability, terms and cost of capital;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deterioration of any of the lending parties under the Company’s revolving credit facility or the creditworthiness of the counterparties to the Company’s derivative transactions could result in such parties’ failure to satisfy their obligations under their arrangements with the Company;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weakening of the Company’s financial position or results of operations could result in noncompliance with the covenants under the Company’s indebtedness;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proceedings arising from the Company’s business, including governmental investigations and other government actions could be costly, time-consuming and disruptive to the Company’s operations.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 Costs or Availability—Higher energy costs worldwide and interrupted power supplies, including as a result of the current conflicts in the Middle East and between Russia and Ukraine, and any escalation of these conflicts, may have a material adverse effect on the Company’s consolidated assets or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Electrical power, natural gas, and fuel oil are vital to the Company’s operations as it relies on a continuous energy supply to conduct its business. Depending on the location and mix of energy sources, energy accounts for 10% to 20% of total manufacturing costs. Substantial increases and volatility in energy costs, including those resulting from extreme weather events that affect the Company’s facilities directly or its energy suppliers, or the current conflicts in the Middle East and between Russia and Ukraine, and any escalation of these conflicts, could cause the Company to experience a significant increase in operating costs, which may have a material adverse effect on its assets or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example, the current conflict between Russia and Ukraine has caused a significant increase in the price of natural gas and increased price volatility. Natural gas forms the primary energy source for the Company’s European operations, and a significant amount of natural gas in Europe is ultimately sourced from Russia. The Company’s European operations typically purchase natural gas under mid- to long-term supply arrangements with terms that range from one to three years and, through these agreements, typically agree on a portion of the price with the relevant supplier in advance of the period in which the natural gas will be delivered, which shields the Company from the full impact of increased natural gas prices, while such agreements remain in effect. However, if new agreements are entered into during periods when prices have increased, this would lead to cost inflation and could impact the Company’s profitability if the Company is not able to pass on these increased costs to customers. Moreover, higher global energy costs in Europe are expected in future periods driven by the conflicts in the Middle East.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Company has an energy derivative contract that is intended to protect against the rise of natural gas costs impacting its European operations. Under the terms of the energy derivative contract, if European natural gas prices rise above a specified level (the “price trigger”), the Company is entitled to indemnification from the counterparty for the difference between the price paid to purchase the natural gas and the price trigger. However, if European natural gas prices rise above a predetermined maximum level (the “price cap”), the Company's entitlement to indemnification is limited to the difference between the price cap and the price trigger. Accordingly, if European natural gas prices rise above the price cap, the Company would bear the full incremental cost of natural gas prices in excess of the price cap, which may be significant and could have a material adverse effect on the Company's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the current conflict between Russia and Ukraine and the resulting sanctions, potential sanctions, government-mandated curtailments or government-imposed allocations, tariffs or other adverse repercussions on energy supplies could cause the Company’s energy suppliers to be unable or unwilling to deliver natural gas at agreed prices and quantities. If this occurs, the Company may need to procure natural gas at then-current market prices, subject to market availability, which may exceed both the prices contemplated under the applicable supply arrangement and the price cap applicable under the Company’s energy derivative contract, which, in either case, could cause the Company to experience a significant increase in operating costs or result in the temporary or permanent cessation of delivery of natural gas to several of the Company’s manufacturing plants in Europe. Alternatively, for certain plants that have energy switching capabilities, the Company may decide to switch to a different energy source, which could also result in a significant increase in operating costs. In addition, depending on the duration and ultimate outcome of the conflict between Russia and Ukraine, future long-term supply arrangements for natural gas may not be available at reasonable prices or at all. The occurrence of any of the foregoing could have a material adverse effect on the Company’s consolidated assets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Supply Chain Disruptions—The Company’s capital expenditure plans have been, and may continue to be, affected by supply chain disruptions.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relies on third parties to provide equipment and materials needed for its capital expenditure projects. The global supply chain for the Company’s capital expenditure projects has been, and may continue to be impacted by disruptions, such as political events, international trade disputes or other geopolitical tensions, acts of terrorism, hostilities or wars (such as the continued conflicts in the Middle East and between Russia and Ukraine), natural disasters, public health issues, such as a pandemic, industrial accidents, inflation, and other business interruptions. Global supply chain disruptions may continue to adversely impact the Company’s ability to procure materials and equipment in a timely and cost-effective manner, which may negatively impact the Company’s operating costs and timelines for capital expenditure projects and limit the Company’s sales opportunities.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707" w:name="_77c61ea6_7ac6_451b_a6f4_ca8db5db75c5"/>
      <w:bookmarkEnd w:id="1707"/>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08" w:name="_acb42cf2_7a7b_43bd_8dab_2a879b5bbfd9"/>
      <w:bookmarkEnd w:id="1708"/>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2026, no director or officer of the Company adopted or terminated a “Rule 10b5-1 trading arrangement” or “non-Rule 10b5-1 trading arrangement,” as each term is defined in Item 408 of Regulation S-K.</w:t>
      </w:r>
    </w:p>
    <w:p>
      <w:pPr>
        <w:pStyle w:val="TextBody"/>
        <w:bidi w:val="0"/>
        <w:spacing w:before="0" w:after="0"/>
        <w:ind w:left="0" w:right="0" w:hanging="0"/>
        <w:jc w:val="left"/>
        <w:rPr>
          <w:rFonts w:ascii="Times New Roman;Times;serif" w:hAnsi="Times New Roman;Times;serif"/>
          <w:b/>
          <w:sz w:val="20"/>
        </w:rPr>
      </w:pPr>
      <w:bookmarkStart w:id="1709" w:name="Item6Exhibits_340638"/>
      <w:bookmarkStart w:id="1710" w:name="_c5142f3c_3de9_484f_adce_00095ff403e3"/>
      <w:bookmarkEnd w:id="1709"/>
      <w:bookmarkEnd w:id="1710"/>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61"/>
        <w:gridCol w:w="8889"/>
        <w:gridCol w:w="155"/>
      </w:tblGrid>
      <w:tr>
        <w:trPr/>
        <w:tc>
          <w:tcPr>
            <w:tcW w:w="1161" w:type="dxa"/>
            <w:tcBorders/>
            <w:vAlign w:val="center"/>
          </w:tcPr>
          <w:p>
            <w:pPr>
              <w:pStyle w:val="TableContents"/>
              <w:bidi w:val="0"/>
              <w:spacing w:before="0" w:after="0"/>
              <w:ind w:left="0" w:right="0" w:hanging="0"/>
              <w:jc w:val="left"/>
              <w:rPr/>
            </w:pPr>
            <w:r>
              <w:rPr/>
              <w:t>​</w:t>
            </w:r>
          </w:p>
        </w:tc>
        <w:tc>
          <w:tcPr>
            <w:tcW w:w="8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5644515" cy="175260"/>
                      <wp:effectExtent l="0" t="0" r="0" b="0"/>
                      <wp:wrapNone/>
                      <wp:docPr id="686" name="Frame685"/>
                      <a:graphic xmlns:a="http://schemas.openxmlformats.org/drawingml/2006/main">
                        <a:graphicData uri="http://schemas.microsoft.com/office/word/2010/wordprocessingShape">
                          <wps:wsp>
                            <wps:cNvSpPr txBox="1"/>
                            <wps:spPr>
                              <a:xfrm>
                                <a:off x="0" y="0"/>
                                <a:ext cx="564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0"/>
              <w:ind w:left="0" w:right="0" w:hanging="0"/>
              <w:jc w:val="left"/>
              <w:rPr/>
            </w:pPr>
            <w:r>
              <w:rPr/>
              <w:t>​</w:t>
            </w:r>
          </w:p>
        </w:tc>
      </w:tr>
      <w:tr>
        <w:trPr/>
        <w:tc>
          <w:tcPr>
            <w:tcW w:w="1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w:t>
            </w:r>
          </w:p>
        </w:tc>
        <w:tc>
          <w:tcPr>
            <w:tcW w:w="8889" w:type="dxa"/>
            <w:tcBorders/>
            <w:shd w:fill="CCEEFF" w:val="cle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O-I Glass, Inc. (filed as Exhibit 3.2 to O-I Glass, Inc.’s, Paddock Enterprises, LLC’s and Owens-Illinois Group, Inc.’s Form 8-K12B dated December 25, 2019, File Nos. 1-9576 and 1-10956, and incorporated herein by reference).</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vAlign w:val="center"/>
          </w:tcPr>
          <w:p>
            <w:pPr>
              <w:pStyle w:val="TableContents"/>
              <w:bidi w:val="0"/>
              <w:spacing w:before="0" w:after="0"/>
              <w:ind w:left="0" w:right="0" w:hanging="0"/>
              <w:jc w:val="left"/>
              <w:rPr/>
            </w:pPr>
            <w:r>
              <w:rPr/>
              <w:t>​</w:t>
            </w:r>
          </w:p>
        </w:tc>
        <w:tc>
          <w:tcPr>
            <w:tcW w:w="8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5644515" cy="175260"/>
                      <wp:effectExtent l="0" t="0" r="0" b="0"/>
                      <wp:wrapNone/>
                      <wp:docPr id="687" name="Frame686"/>
                      <a:graphic xmlns:a="http://schemas.openxmlformats.org/drawingml/2006/main">
                        <a:graphicData uri="http://schemas.microsoft.com/office/word/2010/wordprocessingShape">
                          <wps:wsp>
                            <wps:cNvSpPr txBox="1"/>
                            <wps:spPr>
                              <a:xfrm>
                                <a:off x="0" y="0"/>
                                <a:ext cx="564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0"/>
              <w:ind w:left="0" w:right="0" w:hanging="0"/>
              <w:jc w:val="left"/>
              <w:rPr/>
            </w:pPr>
            <w:r>
              <w:rPr/>
              <w:t>​</w:t>
            </w:r>
          </w:p>
        </w:tc>
      </w:tr>
      <w:tr>
        <w:trPr/>
        <w:tc>
          <w:tcPr>
            <w:tcW w:w="1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3.2 </w:t>
            </w:r>
          </w:p>
        </w:tc>
        <w:tc>
          <w:tcPr>
            <w:tcW w:w="8889"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O-I Glass, Inc., (filed as Exhibit 3.1 to O-I Glass, Inc.’s Form 8-K dated December 6, 2022, File No. 1-9576, and incorporated herein by reference).</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vAlign w:val="center"/>
          </w:tcPr>
          <w:p>
            <w:pPr>
              <w:pStyle w:val="TableContents"/>
              <w:bidi w:val="0"/>
              <w:spacing w:before="0" w:after="0"/>
              <w:ind w:left="0" w:right="0" w:hanging="0"/>
              <w:jc w:val="left"/>
              <w:rPr/>
            </w:pPr>
            <w:r>
              <w:rPr/>
              <w:t>​</w:t>
            </w:r>
          </w:p>
        </w:tc>
        <w:tc>
          <w:tcPr>
            <w:tcW w:w="888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4.1</w:t>
            </w:r>
          </w:p>
        </w:tc>
        <w:tc>
          <w:tcPr>
            <w:tcW w:w="8889" w:type="dxa"/>
            <w:tcBorders/>
            <w:shd w:fill="CCEEFF" w:val="cle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Indenture, dated as of May 18, 2026, by and among Owens-Brockway Glass Container Inc., the guarantors party thereto and Regions Bank, as trustee (filed as Exhibit 4.1 to O-I Glass, Inc.’s Form 8-K dated May 18, 2026, File No. 1-9576, and incorporated herein by reference).</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vAlign w:val="center"/>
          </w:tcPr>
          <w:p>
            <w:pPr>
              <w:pStyle w:val="TableContents"/>
              <w:bidi w:val="0"/>
              <w:spacing w:before="0" w:after="0"/>
              <w:ind w:left="0" w:right="0" w:hanging="0"/>
              <w:jc w:val="left"/>
              <w:rPr/>
            </w:pPr>
            <w:r>
              <w:rPr/>
              <w:t>​</w:t>
            </w:r>
          </w:p>
        </w:tc>
        <w:tc>
          <w:tcPr>
            <w:tcW w:w="888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31.1</w:t>
            </w:r>
          </w:p>
        </w:tc>
        <w:tc>
          <w:tcPr>
            <w:tcW w:w="8889" w:type="dxa"/>
            <w:tcBorders/>
            <w:shd w:fill="CCEEFF" w:val="clear"/>
            <w:vAlign w:val="center"/>
          </w:tcPr>
          <w:p>
            <w:pPr>
              <w:pStyle w:val="TableContents"/>
              <w:bidi w:val="0"/>
              <w:spacing w:before="0" w:after="0"/>
              <w:ind w:left="0" w:right="0" w:hanging="0"/>
              <w:jc w:val="left"/>
              <w:rPr/>
            </w:pPr>
            <w:hyperlink w:anchor="oi-20260630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vAlign w:val="center"/>
          </w:tcPr>
          <w:p>
            <w:pPr>
              <w:pStyle w:val="TableContents"/>
              <w:bidi w:val="0"/>
              <w:spacing w:before="0" w:after="0"/>
              <w:ind w:left="0" w:right="0" w:hanging="0"/>
              <w:jc w:val="left"/>
              <w:rPr/>
            </w:pPr>
            <w:r>
              <w:rPr/>
              <w:t>​</w:t>
            </w:r>
          </w:p>
        </w:tc>
        <w:tc>
          <w:tcPr>
            <w:tcW w:w="888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31.2</w:t>
            </w:r>
          </w:p>
        </w:tc>
        <w:tc>
          <w:tcPr>
            <w:tcW w:w="8889" w:type="dxa"/>
            <w:tcBorders/>
            <w:shd w:fill="CCEEFF" w:val="clear"/>
            <w:vAlign w:val="center"/>
          </w:tcPr>
          <w:p>
            <w:pPr>
              <w:pStyle w:val="TableContents"/>
              <w:bidi w:val="0"/>
              <w:spacing w:before="0" w:after="0"/>
              <w:ind w:left="0" w:right="0" w:hanging="0"/>
              <w:jc w:val="left"/>
              <w:rPr/>
            </w:pPr>
            <w:hyperlink w:anchor="oi-20260630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vAlign w:val="center"/>
          </w:tcPr>
          <w:p>
            <w:pPr>
              <w:pStyle w:val="TableContents"/>
              <w:bidi w:val="0"/>
              <w:spacing w:before="0" w:after="0"/>
              <w:ind w:left="0" w:right="0" w:hanging="0"/>
              <w:jc w:val="left"/>
              <w:rPr/>
            </w:pPr>
            <w:r>
              <w:rPr/>
              <w:t>​</w:t>
            </w:r>
          </w:p>
        </w:tc>
        <w:tc>
          <w:tcPr>
            <w:tcW w:w="888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32.1*</w:t>
            </w:r>
          </w:p>
        </w:tc>
        <w:tc>
          <w:tcPr>
            <w:tcW w:w="8889" w:type="dxa"/>
            <w:tcBorders/>
            <w:shd w:fill="CCEEFF" w:val="clear"/>
            <w:vAlign w:val="center"/>
          </w:tcPr>
          <w:p>
            <w:pPr>
              <w:pStyle w:val="TableContents"/>
              <w:bidi w:val="0"/>
              <w:spacing w:before="0" w:after="0"/>
              <w:ind w:left="0" w:right="0" w:hanging="0"/>
              <w:jc w:val="left"/>
              <w:rPr/>
            </w:pPr>
            <w:hyperlink w:anchor="oi-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vAlign w:val="center"/>
          </w:tcPr>
          <w:p>
            <w:pPr>
              <w:pStyle w:val="TableContents"/>
              <w:bidi w:val="0"/>
              <w:spacing w:before="0" w:after="0"/>
              <w:ind w:left="0" w:right="0" w:hanging="0"/>
              <w:jc w:val="left"/>
              <w:rPr/>
            </w:pPr>
            <w:r>
              <w:rPr/>
              <w:t>​</w:t>
            </w:r>
          </w:p>
        </w:tc>
        <w:tc>
          <w:tcPr>
            <w:tcW w:w="888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32.2*</w:t>
            </w:r>
          </w:p>
        </w:tc>
        <w:tc>
          <w:tcPr>
            <w:tcW w:w="8889" w:type="dxa"/>
            <w:tcBorders/>
            <w:shd w:fill="CCEEFF" w:val="clear"/>
            <w:vAlign w:val="center"/>
          </w:tcPr>
          <w:p>
            <w:pPr>
              <w:pStyle w:val="TableContents"/>
              <w:bidi w:val="0"/>
              <w:spacing w:before="0" w:after="0"/>
              <w:ind w:left="0" w:right="0" w:hanging="0"/>
              <w:jc w:val="left"/>
              <w:rPr/>
            </w:pPr>
            <w:hyperlink w:anchor="oi-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vAlign w:val="center"/>
          </w:tcPr>
          <w:p>
            <w:pPr>
              <w:pStyle w:val="TableContents"/>
              <w:bidi w:val="0"/>
              <w:spacing w:before="0" w:after="0"/>
              <w:ind w:left="0" w:right="0" w:hanging="0"/>
              <w:jc w:val="left"/>
              <w:rPr/>
            </w:pPr>
            <w:r>
              <w:rPr/>
              <w:t>​</w:t>
            </w:r>
          </w:p>
        </w:tc>
        <w:tc>
          <w:tcPr>
            <w:tcW w:w="888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w:t>
            </w:r>
          </w:p>
        </w:tc>
        <w:tc>
          <w:tcPr>
            <w:tcW w:w="8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 from the Quarterly Report on Form 10-Q of O-I Glass, Inc. for the quarterly period ended June 30, 2026, formatted in iXBRL (Inline eXtensible Business Reporting Language): (i) the Condensed Consolidated Results of Operations, (ii) the Condensed Consolidated Comprehensive Income (Loss), (iii) the Condensed Consolidated Balance Sheets, (iv) the Condensed Consolidated Cash Flows and (v) the Notes to Condensed Consolidated Financial Statements.</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vAlign w:val="center"/>
          </w:tcPr>
          <w:p>
            <w:pPr>
              <w:pStyle w:val="TableContents"/>
              <w:bidi w:val="0"/>
              <w:spacing w:before="0" w:after="0"/>
              <w:ind w:left="0" w:right="0" w:hanging="0"/>
              <w:jc w:val="left"/>
              <w:rPr/>
            </w:pPr>
            <w:r>
              <w:rPr/>
              <w:t>​</w:t>
            </w:r>
          </w:p>
        </w:tc>
        <w:tc>
          <w:tcPr>
            <w:tcW w:w="888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1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104</w:t>
            </w:r>
          </w:p>
        </w:tc>
        <w:tc>
          <w:tcPr>
            <w:tcW w:w="8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iXBRL and contained in Exhibit 101).</w:t>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This exhibit shall not be deemed “filed” for purposes of Section 18 of the Securities Exchange Act of 1934, as amended, and is not incorporated by reference into any filing of the Company,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240"/>
        <w:ind w:left="0" w:right="0" w:hanging="0"/>
        <w:jc w:val="center"/>
        <w:rPr>
          <w:rFonts w:ascii="Times New Roman;Times;serif" w:hAnsi="Times New Roman;Times;serif"/>
          <w:sz w:val="20"/>
        </w:rPr>
      </w:pPr>
      <w:bookmarkStart w:id="1711" w:name="SIGNATURES_105431"/>
      <w:bookmarkStart w:id="1712" w:name="_1d01c92f_a126_4f50_91ae_e9af09794dfc"/>
      <w:bookmarkEnd w:id="1711"/>
      <w:bookmarkEnd w:id="1712"/>
      <w:r>
        <w:rPr>
          <w:rFonts w:ascii="Times New Roman;Times;serif" w:hAnsi="Times New Roman;Times;serif"/>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443" w:type="dxa"/>
        <w:jc w:val="left"/>
        <w:tblInd w:w="0" w:type="dxa"/>
        <w:tblLayout w:type="fixed"/>
        <w:tblCellMar>
          <w:top w:w="0" w:type="dxa"/>
          <w:left w:w="0" w:type="dxa"/>
          <w:bottom w:w="0" w:type="dxa"/>
          <w:right w:w="0" w:type="dxa"/>
        </w:tblCellMar>
      </w:tblPr>
      <w:tblGrid>
        <w:gridCol w:w="541"/>
        <w:gridCol w:w="1216"/>
        <w:gridCol w:w="109"/>
        <w:gridCol w:w="391"/>
        <w:gridCol w:w="418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lineRule="atLeast" w:line="142" w:before="0" w:after="0"/>
              <w:ind w:left="0" w:right="0" w:hanging="0"/>
              <w:jc w:val="left"/>
              <w:rPr/>
            </w:pPr>
            <w:r>
              <w:rPr/>
              <w:t>​</w:t>
            </w:r>
          </w:p>
        </w:tc>
        <w:tc>
          <w:tcPr>
            <w:tcW w:w="391" w:type="dxa"/>
            <w:tcBorders/>
            <w:vAlign w:val="center"/>
          </w:tcPr>
          <w:p>
            <w:pPr>
              <w:pStyle w:val="TableContents"/>
              <w:bidi w:val="0"/>
              <w:spacing w:before="0" w:after="283"/>
              <w:ind w:left="0" w:right="0" w:hanging="0"/>
              <w:jc w:val="left"/>
              <w:rPr>
                <w:sz w:val="4"/>
                <w:szCs w:val="4"/>
              </w:rPr>
            </w:pPr>
            <w:r>
              <w:rPr>
                <w:sz w:val="4"/>
                <w:szCs w:val="4"/>
              </w:rPr>
            </w:r>
          </w:p>
        </w:tc>
        <w:tc>
          <w:tcPr>
            <w:tcW w:w="4186" w:type="dxa"/>
            <w:tcBorders/>
            <w:vAlign w:val="center"/>
          </w:tcPr>
          <w:p>
            <w:pPr>
              <w:pStyle w:val="TableContents"/>
              <w:bidi w:val="0"/>
              <w:spacing w:before="0" w:after="283"/>
              <w:ind w:left="0" w:right="0" w:hanging="0"/>
              <w:jc w:val="left"/>
              <w:rPr>
                <w:sz w:val="4"/>
                <w:szCs w:val="4"/>
              </w:rPr>
            </w:pPr>
            <w:r>
              <w:rPr>
                <w:sz w:val="4"/>
                <w:szCs w:val="4"/>
              </w:rPr>
            </w:r>
          </w:p>
        </w:tc>
      </w:tr>
      <w:tr>
        <w:trPr/>
        <w:tc>
          <w:tcPr>
            <w:tcW w:w="1757"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O-I GLASS, INC.</w:t>
            </w:r>
          </w:p>
        </w:tc>
      </w:tr>
      <w:tr>
        <w:trPr/>
        <w:tc>
          <w:tcPr>
            <w:tcW w:w="1757"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77" w:type="dxa"/>
            <w:gridSpan w:val="2"/>
            <w:tcBorders/>
            <w:vAlign w:val="center"/>
          </w:tcPr>
          <w:p>
            <w:pPr>
              <w:pStyle w:val="TableContents"/>
              <w:bidi w:val="0"/>
              <w:spacing w:before="0" w:after="0"/>
              <w:ind w:left="0" w:right="0" w:hanging="0"/>
              <w:jc w:val="left"/>
              <w:rPr/>
            </w:pPr>
            <w:r>
              <w:rPr/>
              <w:t>​</w:t>
            </w:r>
          </w:p>
        </w:tc>
      </w:tr>
      <w:tr>
        <w:trPr/>
        <w:tc>
          <w:tcPr>
            <w:tcW w:w="1757"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77" w:type="dxa"/>
            <w:gridSpan w:val="2"/>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21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c>
          <w:tcPr>
            <w:tcW w:w="109" w:type="dxa"/>
            <w:tcBorders/>
            <w:vAlign w:val="center"/>
          </w:tcPr>
          <w:p>
            <w:pPr>
              <w:pStyle w:val="TableContents"/>
              <w:pBdr/>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A. Haudrich</w:t>
            </w:r>
          </w:p>
        </w:tc>
      </w:tr>
      <w:tr>
        <w:trPr/>
        <w:tc>
          <w:tcPr>
            <w:tcW w:w="1757"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A. Haudrich</w:t>
            </w:r>
          </w:p>
        </w:tc>
      </w:tr>
      <w:tr>
        <w:trPr/>
        <w:tc>
          <w:tcPr>
            <w:tcW w:w="1757"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4186" w:type="dxa"/>
            <w:tcBorders/>
            <w:vAlign w:val="center"/>
          </w:tcPr>
          <w:p>
            <w:pPr>
              <w:pStyle w:val="TableContents"/>
              <w:pBdr/>
              <w:bidi w:val="0"/>
              <w:spacing w:before="0" w:after="0"/>
              <w:ind w:left="0" w:right="0" w:hanging="200"/>
              <w:jc w:val="left"/>
              <w:rPr>
                <w:rFonts w:ascii="Times New Roman;Times;serif" w:hAnsi="Times New Roman;Times;serif"/>
                <w:sz w:val="20"/>
              </w:rPr>
            </w:pPr>
            <w:r>
              <w:rPr>
                <w:rFonts w:ascii="Times New Roman;Times;serif" w:hAnsi="Times New Roman;Times;serif"/>
                <w:sz w:val="20"/>
              </w:rPr>
              <w:t xml:space="preserve">Senior Vice President and Chief Financial Officer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right"/>
        <w:rPr>
          <w:rFonts w:ascii="Times New Roman;Times;serif" w:hAnsi="Times New Roman;Times;serif"/>
          <w:b/>
          <w:sz w:val="20"/>
        </w:rPr>
      </w:pPr>
      <w:bookmarkStart w:id="1713" w:name="oi-20260630xex31d1.htm"/>
      <w:bookmarkStart w:id="1714" w:name="ksoi20260630xex31d1"/>
      <w:bookmarkEnd w:id="1713"/>
      <w:bookmarkEnd w:id="1714"/>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Gordon J. Hardie, certify that:</w:t>
      </w:r>
    </w:p>
    <w:p>
      <w:pPr>
        <w:pStyle w:val="TextBody"/>
        <w:bidi w:val="0"/>
        <w:spacing w:before="0" w:after="0"/>
        <w:ind w:left="0" w:right="0" w:hanging="0"/>
        <w:jc w:val="left"/>
        <w:rPr/>
      </w:pPr>
      <w:r>
        <w:rPr/>
        <w:t>​</w:t>
      </w:r>
    </w:p>
    <w:tbl>
      <w:tblPr>
        <w:tblW w:w="5725" w:type="dxa"/>
        <w:jc w:val="left"/>
        <w:tblInd w:w="0" w:type="dxa"/>
        <w:tblLayout w:type="fixed"/>
        <w:tblCellMar>
          <w:top w:w="0" w:type="dxa"/>
          <w:left w:w="0" w:type="dxa"/>
          <w:bottom w:w="0" w:type="dxa"/>
          <w:right w:w="0" w:type="dxa"/>
        </w:tblCellMar>
      </w:tblPr>
      <w:tblGrid>
        <w:gridCol w:w="170"/>
        <w:gridCol w:w="555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O-I Glass,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274"/>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274"/>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27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0" w:right="0" w:hanging="274"/>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0" w:right="0" w:hanging="274"/>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0" w:right="0" w:hanging="274"/>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0" w:right="0" w:hanging="274"/>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274"/>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0" w:right="0" w:hanging="274"/>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274"/>
        <w:jc w:val="left"/>
        <w:rPr/>
      </w:pPr>
      <w:r>
        <w:rPr/>
        <w:t>​</w:t>
      </w:r>
    </w:p>
    <w:p>
      <w:pPr>
        <w:pStyle w:val="TextBody"/>
        <w:pBdr/>
        <w:bidi w:val="0"/>
        <w:spacing w:before="0" w:after="0"/>
        <w:ind w:left="0" w:right="0" w:hanging="274"/>
        <w:jc w:val="center"/>
        <w:rPr/>
      </w:pPr>
      <w:r>
        <w:rPr/>
        <w:t>​</w:t>
      </w:r>
    </w:p>
    <w:tbl>
      <w:tblPr>
        <w:tblW w:w="5182" w:type="dxa"/>
        <w:jc w:val="left"/>
        <w:tblInd w:w="0" w:type="dxa"/>
        <w:tblLayout w:type="fixed"/>
        <w:tblCellMar>
          <w:top w:w="0" w:type="dxa"/>
          <w:left w:w="0" w:type="dxa"/>
          <w:bottom w:w="0" w:type="dxa"/>
          <w:right w:w="0" w:type="dxa"/>
        </w:tblCellMar>
      </w:tblPr>
      <w:tblGrid>
        <w:gridCol w:w="601"/>
        <w:gridCol w:w="1216"/>
        <w:gridCol w:w="109"/>
        <w:gridCol w:w="3256"/>
      </w:tblGrid>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c>
          <w:tcPr>
            <w:tcW w:w="109"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Gordon J. Hardie</w:t>
            </w:r>
          </w:p>
        </w:tc>
      </w:tr>
      <w:tr>
        <w:trPr/>
        <w:tc>
          <w:tcPr>
            <w:tcW w:w="1926" w:type="dxa"/>
            <w:gridSpan w:val="3"/>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Gordon J. Hardie</w:t>
            </w:r>
          </w:p>
        </w:tc>
      </w:tr>
      <w:tr>
        <w:trPr/>
        <w:tc>
          <w:tcPr>
            <w:tcW w:w="1926" w:type="dxa"/>
            <w:gridSpan w:val="3"/>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Officer </w:t>
            </w:r>
          </w:p>
        </w:tc>
      </w:tr>
      <w:tr>
        <w:trPr/>
        <w:tc>
          <w:tcPr>
            <w:tcW w:w="1926" w:type="dxa"/>
            <w:gridSpan w:val="3"/>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15" w:name="oi-20260630xex31d2.htm"/>
      <w:bookmarkStart w:id="1716" w:name="ksoi20260630xex31d2"/>
      <w:bookmarkEnd w:id="1715"/>
      <w:bookmarkEnd w:id="1716"/>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John A. Haudrich, certify that:</w:t>
      </w:r>
    </w:p>
    <w:p>
      <w:pPr>
        <w:pStyle w:val="TextBody"/>
        <w:bidi w:val="0"/>
        <w:spacing w:before="0" w:after="0"/>
        <w:ind w:left="0" w:right="0" w:hanging="0"/>
        <w:jc w:val="left"/>
        <w:rPr/>
      </w:pPr>
      <w:r>
        <w:rPr/>
        <w:t>​</w:t>
      </w:r>
    </w:p>
    <w:tbl>
      <w:tblPr>
        <w:tblW w:w="5725" w:type="dxa"/>
        <w:jc w:val="left"/>
        <w:tblInd w:w="0" w:type="dxa"/>
        <w:tblLayout w:type="fixed"/>
        <w:tblCellMar>
          <w:top w:w="0" w:type="dxa"/>
          <w:left w:w="0" w:type="dxa"/>
          <w:bottom w:w="0" w:type="dxa"/>
          <w:right w:w="0" w:type="dxa"/>
        </w:tblCellMar>
      </w:tblPr>
      <w:tblGrid>
        <w:gridCol w:w="170"/>
        <w:gridCol w:w="555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O-I Glass,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27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27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27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0" w:right="0" w:hanging="27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0" w:right="0" w:hanging="27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0" w:right="0" w:hanging="27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80" w:right="0" w:hanging="27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27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0" w:right="0" w:hanging="27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187" w:right="0" w:hanging="274"/>
        <w:jc w:val="left"/>
        <w:rPr/>
      </w:pPr>
      <w:r>
        <w:rPr/>
        <w:t>​</w:t>
      </w:r>
    </w:p>
    <w:tbl>
      <w:tblPr>
        <w:tblW w:w="6022" w:type="dxa"/>
        <w:jc w:val="left"/>
        <w:tblInd w:w="0" w:type="dxa"/>
        <w:tblLayout w:type="fixed"/>
        <w:tblCellMar>
          <w:top w:w="0" w:type="dxa"/>
          <w:left w:w="0" w:type="dxa"/>
          <w:bottom w:w="0" w:type="dxa"/>
          <w:right w:w="0" w:type="dxa"/>
        </w:tblCellMar>
      </w:tblPr>
      <w:tblGrid>
        <w:gridCol w:w="556"/>
        <w:gridCol w:w="1216"/>
        <w:gridCol w:w="109"/>
        <w:gridCol w:w="4141"/>
      </w:tblGrid>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29, 2026</w:t>
            </w:r>
          </w:p>
        </w:tc>
        <w:tc>
          <w:tcPr>
            <w:tcW w:w="109" w:type="dxa"/>
            <w:tcBorders/>
            <w:vAlign w:val="center"/>
          </w:tcPr>
          <w:p>
            <w:pPr>
              <w:pStyle w:val="TableContents"/>
              <w:bidi w:val="0"/>
              <w:spacing w:before="0" w:after="0"/>
              <w:ind w:left="0" w:right="0" w:hanging="0"/>
              <w:jc w:val="left"/>
              <w:rPr/>
            </w:pPr>
            <w:r>
              <w:rPr/>
              <w:t>​</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A. Haudrich</w:t>
            </w:r>
          </w:p>
        </w:tc>
      </w:tr>
      <w:tr>
        <w:trPr/>
        <w:tc>
          <w:tcPr>
            <w:tcW w:w="1881" w:type="dxa"/>
            <w:gridSpan w:val="3"/>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A. Haudrich</w:t>
            </w:r>
          </w:p>
        </w:tc>
      </w:tr>
      <w:tr>
        <w:trPr/>
        <w:tc>
          <w:tcPr>
            <w:tcW w:w="1881" w:type="dxa"/>
            <w:gridSpan w:val="3"/>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17" w:name="oi-20260630xex32d1.htm"/>
      <w:bookmarkStart w:id="1718" w:name="ksoi20260630xex32d1"/>
      <w:bookmarkEnd w:id="1717"/>
      <w:bookmarkEnd w:id="1718"/>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of Principal Executive Officer</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18 U.S.C. § 1350, as created by Section 906 of the Sarbanes-Oxley Act of 2002, the undersigned officer of O-I Glass, Inc. (the “Company”) hereby certifies that to such officer’s knowledge:</w:t>
      </w:r>
    </w:p>
    <w:p>
      <w:pPr>
        <w:pStyle w:val="TextBody"/>
        <w:bidi w:val="0"/>
        <w:spacing w:before="0" w:after="0"/>
        <w:ind w:left="0" w:right="0" w:hanging="0"/>
        <w:jc w:val="left"/>
        <w:rPr/>
      </w:pPr>
      <w:r>
        <w:rPr/>
        <w:t>​</w:t>
      </w:r>
    </w:p>
    <w:p>
      <w:pPr>
        <w:pStyle w:val="TextBody"/>
        <w:bidi w:val="0"/>
        <w:ind w:left="360" w:right="0" w:hanging="0"/>
        <w:jc w:val="left"/>
        <w:rPr>
          <w:rFonts w:ascii="Times New Roman;Times;serif" w:hAnsi="Times New Roman;Times;serif"/>
          <w:sz w:val="20"/>
        </w:rPr>
      </w:pPr>
      <w:r>
        <w:rPr>
          <w:rFonts w:ascii="Times New Roman;Times;serif" w:hAnsi="Times New Roman;Times;serif"/>
          <w:sz w:val="20"/>
        </w:rPr>
        <w:t>(i)the Quarterly Report on Form 10-Q of the Company for the quarter ended June 30, 2026 (the “Report”) fully complies with the requirements of Section 13(a) or Section 15(d), as applicable, of the Securities Exchange Act of 1934, as amended; and</w:t>
      </w:r>
    </w:p>
    <w:p>
      <w:pPr>
        <w:pStyle w:val="TextBody"/>
        <w:bidi w:val="0"/>
        <w:spacing w:before="0" w:after="0"/>
        <w:ind w:left="360" w:right="0" w:hanging="0"/>
        <w:jc w:val="left"/>
        <w:rPr/>
      </w:pPr>
      <w:r>
        <w:rPr/>
        <w:t>​</w:t>
      </w:r>
    </w:p>
    <w:p>
      <w:pPr>
        <w:pStyle w:val="TextBody"/>
        <w:bidi w:val="0"/>
        <w:ind w:left="360" w:right="0" w:hanging="0"/>
        <w:jc w:val="left"/>
        <w:rPr>
          <w:rFonts w:ascii="Times New Roman;Times;serif" w:hAnsi="Times New Roman;Times;serif"/>
          <w:sz w:val="20"/>
        </w:rPr>
      </w:pPr>
      <w:r>
        <w:rPr>
          <w:rFonts w:ascii="Times New Roman;Times;serif" w:hAnsi="Times New Roman;Times;serif"/>
          <w:sz w:val="20"/>
        </w:rPr>
        <w:t>(ii)the information contained in the Report fairly presents, in all material respects, the financial condition and results of operations of the Company.</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tbl>
      <w:tblPr>
        <w:tblW w:w="5026" w:type="dxa"/>
        <w:jc w:val="left"/>
        <w:tblInd w:w="0" w:type="dxa"/>
        <w:tblLayout w:type="fixed"/>
        <w:tblCellMar>
          <w:top w:w="0" w:type="dxa"/>
          <w:left w:w="0" w:type="dxa"/>
          <w:bottom w:w="0" w:type="dxa"/>
          <w:right w:w="0" w:type="dxa"/>
        </w:tblCellMar>
      </w:tblPr>
      <w:tblGrid>
        <w:gridCol w:w="964"/>
        <w:gridCol w:w="851"/>
        <w:gridCol w:w="3211"/>
      </w:tblGrid>
      <w:tr>
        <w:trPr/>
        <w:tc>
          <w:tcPr>
            <w:tcW w:w="96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July 29, 2026</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Gordon J. Hardie</w:t>
            </w:r>
          </w:p>
        </w:tc>
      </w:tr>
      <w:tr>
        <w:trPr/>
        <w:tc>
          <w:tcPr>
            <w:tcW w:w="1815" w:type="dxa"/>
            <w:gridSpan w:val="2"/>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Gordon J. Hardie</w:t>
            </w:r>
          </w:p>
        </w:tc>
      </w:tr>
      <w:tr>
        <w:trPr/>
        <w:tc>
          <w:tcPr>
            <w:tcW w:w="1815" w:type="dxa"/>
            <w:gridSpan w:val="2"/>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15" w:type="dxa"/>
            <w:gridSpan w:val="2"/>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19" w:name="oi-20260630xex32d2.htm"/>
      <w:bookmarkStart w:id="1720" w:name="ksoi20260630xex32d2"/>
      <w:bookmarkEnd w:id="1719"/>
      <w:bookmarkEnd w:id="1720"/>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of Principal Financial Officer</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18 U.S.C. § 1350, as created by Section 906 of the Sarbanes-Oxley Act of 2002, the undersigned officer of O-I Glass, Inc. (the “Company”) hereby certifies that to such officer’s knowledge:</w:t>
      </w:r>
    </w:p>
    <w:p>
      <w:pPr>
        <w:pStyle w:val="TextBody"/>
        <w:bidi w:val="0"/>
        <w:spacing w:before="0" w:after="0"/>
        <w:ind w:left="0" w:right="0" w:hanging="0"/>
        <w:jc w:val="left"/>
        <w:rPr/>
      </w:pPr>
      <w:r>
        <w:rPr/>
        <w:t>​</w:t>
      </w:r>
    </w:p>
    <w:p>
      <w:pPr>
        <w:pStyle w:val="TextBody"/>
        <w:bidi w:val="0"/>
        <w:ind w:left="360" w:right="0" w:hanging="0"/>
        <w:jc w:val="left"/>
        <w:rPr>
          <w:rFonts w:ascii="Times New Roman;Times;serif" w:hAnsi="Times New Roman;Times;serif"/>
          <w:sz w:val="20"/>
        </w:rPr>
      </w:pPr>
      <w:r>
        <w:rPr>
          <w:rFonts w:ascii="Times New Roman;Times;serif" w:hAnsi="Times New Roman;Times;serif"/>
          <w:sz w:val="20"/>
        </w:rPr>
        <w:t>(i)the Quarterly Report on Form 10-Q of the Company for the quarter ended June 30, 2026 (the “Report”) fully complies with the requirements of Section 13(a) or Section 15(d), as applicable, of the Securities Exchange Act of 1934, as amended; and</w:t>
      </w:r>
    </w:p>
    <w:p>
      <w:pPr>
        <w:pStyle w:val="TextBody"/>
        <w:bidi w:val="0"/>
        <w:spacing w:before="0" w:after="0"/>
        <w:ind w:left="360" w:right="0" w:hanging="0"/>
        <w:jc w:val="left"/>
        <w:rPr/>
      </w:pPr>
      <w:r>
        <w:rPr/>
        <w:t>​</w:t>
      </w:r>
    </w:p>
    <w:p>
      <w:pPr>
        <w:pStyle w:val="TextBody"/>
        <w:bidi w:val="0"/>
        <w:ind w:left="360" w:right="0" w:hanging="0"/>
        <w:jc w:val="left"/>
        <w:rPr>
          <w:rFonts w:ascii="Times New Roman;Times;serif" w:hAnsi="Times New Roman;Times;serif"/>
          <w:sz w:val="20"/>
        </w:rPr>
      </w:pPr>
      <w:r>
        <w:rPr>
          <w:rFonts w:ascii="Times New Roman;Times;serif" w:hAnsi="Times New Roman;Times;serif"/>
          <w:sz w:val="20"/>
        </w:rPr>
        <w:t>(ii)the information contained in the Report fairly presents, in all material respects, the financial condition and results of operations of the Company.</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tbl>
      <w:tblPr>
        <w:tblW w:w="5956" w:type="dxa"/>
        <w:jc w:val="left"/>
        <w:tblInd w:w="0" w:type="dxa"/>
        <w:tblLayout w:type="fixed"/>
        <w:tblCellMar>
          <w:top w:w="0" w:type="dxa"/>
          <w:left w:w="0" w:type="dxa"/>
          <w:bottom w:w="0" w:type="dxa"/>
          <w:right w:w="0" w:type="dxa"/>
        </w:tblCellMar>
      </w:tblPr>
      <w:tblGrid>
        <w:gridCol w:w="964"/>
        <w:gridCol w:w="851"/>
        <w:gridCol w:w="4141"/>
      </w:tblGrid>
      <w:tr>
        <w:trPr/>
        <w:tc>
          <w:tcPr>
            <w:tcW w:w="96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8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July 29, 2026</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A. Haudrich</w:t>
            </w:r>
          </w:p>
        </w:tc>
      </w:tr>
      <w:tr>
        <w:trPr/>
        <w:tc>
          <w:tcPr>
            <w:tcW w:w="1815" w:type="dxa"/>
            <w:gridSpan w:val="2"/>
            <w:tcBorders/>
            <w:vAlign w:val="center"/>
          </w:tcPr>
          <w:p>
            <w:pPr>
              <w:pStyle w:val="TableContents"/>
              <w:bidi w:val="0"/>
              <w:spacing w:before="0" w:after="0"/>
              <w:ind w:left="0" w:right="0" w:hanging="0"/>
              <w:jc w:val="left"/>
              <w:rPr/>
            </w:pPr>
            <w:r>
              <w:rPr/>
              <w:t>​</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A. Haudrich</w:t>
            </w:r>
          </w:p>
        </w:tc>
      </w:tr>
      <w:tr>
        <w:trPr/>
        <w:tc>
          <w:tcPr>
            <w:tcW w:w="1815" w:type="dxa"/>
            <w:gridSpan w:val="2"/>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815" w:type="dxa"/>
            <w:gridSpan w:val="2"/>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12074/000110465919076288/tm1926776d1_ex3-2.htm" TargetMode="External"/><Relationship Id="rId4" Type="http://schemas.openxmlformats.org/officeDocument/2006/relationships/hyperlink" Target="https://www.sec.gov/Archives/edgar/data/812074/000110465922125834/tm2232297d1_ex3-1.htm" TargetMode="External"/><Relationship Id="rId5" Type="http://schemas.openxmlformats.org/officeDocument/2006/relationships/hyperlink" Target="https://www.sec.gov/Archives/edgar/data/812074/000110465926063186/tm2614509d2_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22837</Words>
  <Characters>121562</Characters>
  <CharactersWithSpaces>148879</CharactersWithSpaces>
  <Paragraphs>8952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