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0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9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June 9, 2026</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3223260</wp:posOffset>
            </wp:positionH>
            <wp:positionV relativeFrom="paragraph">
              <wp:posOffset>66675</wp:posOffset>
            </wp:positionV>
            <wp:extent cx="714375" cy="537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O-I GLASS,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8"/>
          </w:cols>
          <w:pgMar w:left="292" w:top="499" w:right="299" w:bottom="1440" w:gutter="0" w:footer="0" w:header="0"/>
        </w:sectPr>
      </w:pPr>
    </w:p>
    <w:p>
      <w:pPr>
        <w:spacing w:after="0" w:line="89"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40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b w:val="1"/>
          <w:bCs w:val="1"/>
          <w:color w:val="auto"/>
        </w:rPr>
        <w:t>1-9576</w:t>
      </w:r>
    </w:p>
    <w:p>
      <w:pPr>
        <w:spacing w:after="0" w:line="2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(Commission</w:t>
      </w:r>
    </w:p>
    <w:p>
      <w:pPr>
        <w:spacing w:after="0" w:line="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22-2781933</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90" w:lineRule="exact"/>
        <w:rPr>
          <w:sz w:val="24"/>
          <w:szCs w:val="24"/>
          <w:color w:val="auto"/>
        </w:rPr>
      </w:pPr>
    </w:p>
    <w:p>
      <w:pPr>
        <w:sectPr>
          <w:pgSz w:w="11900" w:h="16838" w:orient="portrait"/>
          <w:cols w:equalWidth="0" w:num="3">
            <w:col w:w="4608" w:space="720"/>
            <w:col w:w="3000" w:space="720"/>
            <w:col w:w="2260"/>
          </w:cols>
          <w:pgMar w:left="292" w:top="499" w:right="299" w:bottom="1440" w:gutter="0" w:footer="0" w:header="0"/>
          <w:type w:val="continuous"/>
        </w:sectPr>
      </w:pPr>
    </w:p>
    <w:p>
      <w:pPr>
        <w:ind w:left="2188"/>
        <w:spacing w:after="0"/>
        <w:rPr>
          <w:sz w:val="20"/>
          <w:szCs w:val="20"/>
          <w:color w:val="auto"/>
        </w:rPr>
      </w:pPr>
      <w:r>
        <w:rPr>
          <w:rFonts w:ascii="Times New Roman" w:cs="Times New Roman" w:eastAsia="Times New Roman" w:hAnsi="Times New Roman"/>
          <w:sz w:val="11"/>
          <w:szCs w:val="11"/>
          <w:b w:val="1"/>
          <w:bCs w:val="1"/>
          <w:color w:val="auto"/>
        </w:rPr>
        <w:t>One Michael Owens Way</w:t>
      </w:r>
    </w:p>
    <w:p>
      <w:pPr>
        <w:sectPr>
          <w:pgSz w:w="11900" w:h="16838" w:orient="portrait"/>
          <w:cols w:equalWidth="0" w:num="1">
            <w:col w:w="11308"/>
          </w:cols>
          <w:pgMar w:left="292" w:top="499" w:right="299" w:bottom="1440" w:gutter="0" w:footer="0" w:header="0"/>
          <w:type w:val="continuous"/>
        </w:sectPr>
      </w:pPr>
    </w:p>
    <w:p>
      <w:pPr>
        <w:spacing w:after="0" w:line="32" w:lineRule="exact"/>
        <w:rPr>
          <w:sz w:val="24"/>
          <w:szCs w:val="24"/>
          <w:color w:val="auto"/>
        </w:rPr>
      </w:pPr>
    </w:p>
    <w:p>
      <w:pPr>
        <w:ind w:left="2368"/>
        <w:spacing w:after="0"/>
        <w:rPr>
          <w:sz w:val="20"/>
          <w:szCs w:val="20"/>
          <w:color w:val="auto"/>
        </w:rPr>
      </w:pPr>
      <w:r>
        <w:rPr>
          <w:rFonts w:ascii="Times New Roman" w:cs="Times New Roman" w:eastAsia="Times New Roman" w:hAnsi="Times New Roman"/>
          <w:sz w:val="11"/>
          <w:szCs w:val="11"/>
          <w:b w:val="1"/>
          <w:bCs w:val="1"/>
          <w:color w:val="auto"/>
        </w:rPr>
        <w:t>Perrysburg, Ohio</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43551-2999</w:t>
      </w:r>
    </w:p>
    <w:p>
      <w:pPr>
        <w:spacing w:after="0" w:line="18" w:lineRule="exact"/>
        <w:rPr>
          <w:sz w:val="24"/>
          <w:szCs w:val="24"/>
          <w:color w:val="auto"/>
        </w:rPr>
      </w:pPr>
    </w:p>
    <w:p>
      <w:pPr>
        <w:sectPr>
          <w:pgSz w:w="11900" w:h="16838" w:orient="portrait"/>
          <w:cols w:equalWidth="0" w:num="2">
            <w:col w:w="7468" w:space="720"/>
            <w:col w:w="3120"/>
          </w:cols>
          <w:pgMar w:left="292" w:top="499" w:right="299" w:bottom="1440" w:gutter="0" w:footer="0" w:header="0"/>
          <w:type w:val="continuous"/>
        </w:sectPr>
      </w:pPr>
    </w:p>
    <w:p>
      <w:pPr>
        <w:ind w:left="186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90" w:lineRule="exact"/>
        <w:rPr>
          <w:sz w:val="24"/>
          <w:szCs w:val="24"/>
          <w:color w:val="auto"/>
        </w:rPr>
      </w:pPr>
    </w:p>
    <w:p>
      <w:pPr>
        <w:sectPr>
          <w:pgSz w:w="11900" w:h="16838" w:orient="portrait"/>
          <w:cols w:equalWidth="0" w:num="2">
            <w:col w:w="7488" w:space="720"/>
            <w:col w:w="3100"/>
          </w:cols>
          <w:pgMar w:left="292" w:top="499"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(567) 336-5000</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30" w:lineRule="exact"/>
        <w:rPr>
          <w:sz w:val="24"/>
          <w:szCs w:val="24"/>
          <w:color w:val="auto"/>
        </w:rPr>
      </w:pPr>
    </w:p>
    <w:p>
      <w:pPr>
        <w:ind w:left="4168"/>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0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05"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left="8" w:right="5660" w:hanging="8"/>
        <w:spacing w:after="0" w:line="452" w:lineRule="auto"/>
        <w:tabs>
          <w:tab w:leader="none" w:pos="30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1" w:lineRule="exact"/>
        <w:rPr>
          <w:sz w:val="24"/>
          <w:szCs w:val="24"/>
          <w:color w:val="auto"/>
        </w:rPr>
      </w:pPr>
    </w:p>
    <w:tbl>
      <w:tblPr>
        <w:tblLayout w:type="fixed"/>
        <w:tblInd w:w="18" w:type="dxa"/>
        <w:tblCellMar>
          <w:top w:w="0" w:type="dxa"/>
          <w:left w:w="0" w:type="dxa"/>
          <w:bottom w:w="0" w:type="dxa"/>
          <w:right w:w="0" w:type="dxa"/>
        </w:tblCellMar>
      </w:tblPr>
      <w:tr>
        <w:trPr>
          <w:trHeight w:val="156"/>
        </w:trPr>
        <w:tc>
          <w:tcPr>
            <w:tcW w:w="39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w:t>
            </w:r>
          </w:p>
        </w:tc>
        <w:tc>
          <w:tcPr>
            <w:tcW w:w="0" w:type="dxa"/>
            <w:vAlign w:val="bottom"/>
          </w:tcPr>
          <w:p>
            <w:pPr>
              <w:spacing w:after="0"/>
              <w:rPr>
                <w:sz w:val="1"/>
                <w:szCs w:val="1"/>
                <w:color w:val="auto"/>
              </w:rPr>
            </w:pPr>
          </w:p>
        </w:tc>
      </w:tr>
      <w:tr>
        <w:trPr>
          <w:trHeight w:val="87"/>
        </w:trPr>
        <w:tc>
          <w:tcPr>
            <w:tcW w:w="3980" w:type="dxa"/>
            <w:vAlign w:val="bottom"/>
            <w:tcBorders>
              <w:left w:val="single" w:sz="8" w:color="auto"/>
              <w:right w:val="single" w:sz="8" w:color="auto"/>
            </w:tcBorders>
            <w:vMerge w:val="continue"/>
          </w:tcPr>
          <w:p>
            <w:pPr>
              <w:spacing w:after="0"/>
              <w:rPr>
                <w:sz w:val="7"/>
                <w:szCs w:val="7"/>
                <w:color w:val="auto"/>
              </w:rPr>
            </w:pPr>
          </w:p>
        </w:tc>
        <w:tc>
          <w:tcPr>
            <w:tcW w:w="3380" w:type="dxa"/>
            <w:vAlign w:val="bottom"/>
            <w:tcBorders>
              <w:right w:val="single" w:sz="8" w:color="auto"/>
            </w:tcBorders>
            <w:vMerge w:val="continue"/>
          </w:tcPr>
          <w:p>
            <w:pPr>
              <w:spacing w:after="0"/>
              <w:rPr>
                <w:sz w:val="7"/>
                <w:szCs w:val="7"/>
                <w:color w:val="auto"/>
              </w:rPr>
            </w:pPr>
          </w:p>
        </w:tc>
        <w:tc>
          <w:tcPr>
            <w:tcW w:w="3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registered</w:t>
            </w:r>
          </w:p>
        </w:tc>
        <w:tc>
          <w:tcPr>
            <w:tcW w:w="0" w:type="dxa"/>
            <w:vAlign w:val="bottom"/>
          </w:tcPr>
          <w:p>
            <w:pPr>
              <w:spacing w:after="0"/>
              <w:rPr>
                <w:sz w:val="1"/>
                <w:szCs w:val="1"/>
                <w:color w:val="auto"/>
              </w:rPr>
            </w:pPr>
          </w:p>
        </w:tc>
      </w:tr>
      <w:tr>
        <w:trPr>
          <w:trHeight w:val="72"/>
        </w:trPr>
        <w:tc>
          <w:tcPr>
            <w:tcW w:w="3980" w:type="dxa"/>
            <w:vAlign w:val="bottom"/>
            <w:tcBorders>
              <w:left w:val="single" w:sz="8" w:color="auto"/>
              <w:bottom w:val="single" w:sz="8" w:color="auto"/>
              <w:right w:val="single" w:sz="8" w:color="auto"/>
            </w:tcBorders>
          </w:tcPr>
          <w:p>
            <w:pPr>
              <w:spacing w:after="0"/>
              <w:rPr>
                <w:sz w:val="6"/>
                <w:szCs w:val="6"/>
                <w:color w:val="auto"/>
              </w:rPr>
            </w:pPr>
          </w:p>
        </w:tc>
        <w:tc>
          <w:tcPr>
            <w:tcW w:w="3380" w:type="dxa"/>
            <w:vAlign w:val="bottom"/>
            <w:tcBorders>
              <w:bottom w:val="single" w:sz="8" w:color="auto"/>
              <w:right w:val="single" w:sz="8" w:color="auto"/>
            </w:tcBorders>
          </w:tcPr>
          <w:p>
            <w:pPr>
              <w:spacing w:after="0"/>
              <w:rPr>
                <w:sz w:val="6"/>
                <w:szCs w:val="6"/>
                <w:color w:val="auto"/>
              </w:rPr>
            </w:pPr>
          </w:p>
        </w:tc>
        <w:tc>
          <w:tcPr>
            <w:tcW w:w="39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$.01 par value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OI</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c>
          <w:tcPr>
            <w:tcW w:w="0" w:type="dxa"/>
            <w:vAlign w:val="bottom"/>
          </w:tcPr>
          <w:p>
            <w:pPr>
              <w:spacing w:after="0"/>
              <w:rPr>
                <w:sz w:val="1"/>
                <w:szCs w:val="1"/>
                <w:color w:val="auto"/>
              </w:rPr>
            </w:pPr>
          </w:p>
        </w:tc>
      </w:tr>
    </w:tbl>
    <w:p>
      <w:pPr>
        <w:spacing w:after="0" w:line="124"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69215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99" w:right="299" w:bottom="1440" w:gutter="0" w:footer="0" w:header="0"/>
          <w:type w:val="continuous"/>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6" w:lineRule="exact"/>
        <w:rPr>
          <w:sz w:val="20"/>
          <w:szCs w:val="20"/>
          <w:color w:val="auto"/>
        </w:rPr>
      </w:pPr>
    </w:p>
    <w:p>
      <w:pPr>
        <w:ind w:left="8" w:right="500" w:firstLine="432"/>
        <w:spacing w:after="0" w:line="218" w:lineRule="auto"/>
        <w:rPr>
          <w:sz w:val="20"/>
          <w:szCs w:val="20"/>
          <w:color w:val="auto"/>
        </w:rPr>
      </w:pPr>
      <w:r>
        <w:rPr>
          <w:rFonts w:ascii="Times New Roman" w:cs="Times New Roman" w:eastAsia="Times New Roman" w:hAnsi="Times New Roman"/>
          <w:sz w:val="12"/>
          <w:szCs w:val="12"/>
          <w:color w:val="auto"/>
        </w:rPr>
        <w:t>O-I Glass, Inc.’s (the “Company”) Chief Executive Officer Gordon Hardie and Chief Financial Officer John Haudrich are scheduled to present at the Wells Fargo 16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Annual Industrials and Materials Conference (the “Conference”) on Wednesday, June 10, 2026 at 11:00 a.m., Central Time.</w:t>
      </w:r>
    </w:p>
    <w:p>
      <w:pPr>
        <w:spacing w:after="0" w:line="133" w:lineRule="exact"/>
        <w:rPr>
          <w:sz w:val="20"/>
          <w:szCs w:val="20"/>
          <w:color w:val="auto"/>
        </w:rPr>
      </w:pPr>
    </w:p>
    <w:p>
      <w:pPr>
        <w:jc w:val="both"/>
        <w:ind w:left="8" w:right="180" w:firstLine="432"/>
        <w:spacing w:after="0" w:line="265" w:lineRule="auto"/>
        <w:rPr>
          <w:sz w:val="20"/>
          <w:szCs w:val="20"/>
          <w:color w:val="auto"/>
        </w:rPr>
      </w:pPr>
      <w:r>
        <w:rPr>
          <w:rFonts w:ascii="Times New Roman" w:cs="Times New Roman" w:eastAsia="Times New Roman" w:hAnsi="Times New Roman"/>
          <w:sz w:val="12"/>
          <w:szCs w:val="12"/>
          <w:color w:val="auto"/>
        </w:rPr>
        <w:t>A live webcast of the presentation will be available at the following link: https:‌//event.summitcast.com/view/QCgpAyoWWxBHCfAopjr‌3F6/V7k3FG4MjMxCC8DQsPwVgM. The replay from the conference will be posted within 24 hours of the presentation and will be archived through this link for 90 days following the completion of the Conference. A copy of the presentation slides, which is attached hereto as Exhibit 99.1 and incorporated herein by reference, will be discussed at the Conference and will also be available on the Company’s website, www.o-i.com/investors.</w:t>
      </w:r>
    </w:p>
    <w:p>
      <w:pPr>
        <w:spacing w:after="0" w:line="119" w:lineRule="exact"/>
        <w:rPr>
          <w:sz w:val="20"/>
          <w:szCs w:val="20"/>
          <w:color w:val="auto"/>
        </w:rPr>
      </w:pPr>
    </w:p>
    <w:p>
      <w:pPr>
        <w:ind w:left="8" w:right="120" w:firstLine="432"/>
        <w:spacing w:after="0" w:line="265" w:lineRule="auto"/>
        <w:rPr>
          <w:sz w:val="20"/>
          <w:szCs w:val="20"/>
          <w:color w:val="auto"/>
        </w:rPr>
      </w:pPr>
      <w:r>
        <w:rPr>
          <w:rFonts w:ascii="Times New Roman" w:cs="Times New Roman" w:eastAsia="Times New Roman" w:hAnsi="Times New Roman"/>
          <w:sz w:val="12"/>
          <w:szCs w:val="12"/>
          <w:color w:val="auto"/>
        </w:rPr>
        <w:t>The information contained in this Item 7.01 and in Exhibits 99.1 and 99.2 hereto is furnished and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a filing.</w:t>
      </w:r>
    </w:p>
    <w:p>
      <w:pPr>
        <w:spacing w:after="0" w:line="115"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868" w:hanging="868"/>
        <w:spacing w:after="0"/>
        <w:tabs>
          <w:tab w:leader="none" w:pos="8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6660" w:type="dxa"/>
            <w:vAlign w:val="bottom"/>
          </w:tcPr>
          <w:p>
            <w:pPr>
              <w:ind w:left="138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88"/>
        </w:trPr>
        <w:tc>
          <w:tcPr>
            <w:tcW w:w="200" w:type="dxa"/>
            <w:vAlign w:val="bottom"/>
            <w:tcBorders>
              <w:top w:val="single" w:sz="8" w:color="auto"/>
              <w:bottom w:val="single" w:sz="8" w:color="auto"/>
            </w:tcBorders>
            <w:vMerge w:val="restart"/>
          </w:tcPr>
          <w:p>
            <w:pPr>
              <w:spacing w:after="0" w:line="97" w:lineRule="exact"/>
              <w:rPr>
                <w:sz w:val="20"/>
                <w:szCs w:val="20"/>
                <w:color w:val="auto"/>
              </w:rPr>
            </w:pPr>
            <w:r>
              <w:rPr>
                <w:rFonts w:ascii="Times New Roman" w:cs="Times New Roman" w:eastAsia="Times New Roman" w:hAnsi="Times New Roman"/>
                <w:sz w:val="11"/>
                <w:szCs w:val="11"/>
                <w:color w:val="0000EE"/>
                <w:w w:val="93"/>
              </w:rPr>
              <w:t>99.</w:t>
            </w:r>
            <w:r>
              <w:rPr>
                <w:rFonts w:ascii="Times New Roman" w:cs="Times New Roman" w:eastAsia="Times New Roman" w:hAnsi="Times New Roman"/>
                <w:sz w:val="11"/>
                <w:szCs w:val="11"/>
                <w:u w:val="single" w:color="auto"/>
                <w:color w:val="0000EE"/>
                <w:w w:val="93"/>
              </w:rPr>
              <w:t>1</w:t>
            </w:r>
          </w:p>
        </w:tc>
        <w:tc>
          <w:tcPr>
            <w:tcW w:w="9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0000EE"/>
                <w:w w:val="94"/>
              </w:rPr>
              <w:t>Wells Fargo 16</w:t>
            </w:r>
          </w:p>
        </w:tc>
        <w:tc>
          <w:tcPr>
            <w:tcW w:w="80" w:type="dxa"/>
            <w:vAlign w:val="bottom"/>
            <w:tcBorders>
              <w:top w:val="single" w:sz="8" w:color="auto"/>
              <w:bottom w:val="single" w:sz="8" w:color="0000EE"/>
            </w:tcBorders>
          </w:tcPr>
          <w:p>
            <w:pPr>
              <w:spacing w:after="0" w:line="79" w:lineRule="exact"/>
              <w:rPr>
                <w:sz w:val="20"/>
                <w:szCs w:val="20"/>
                <w:color w:val="auto"/>
              </w:rPr>
            </w:pPr>
            <w:r>
              <w:rPr>
                <w:rFonts w:ascii="Times New Roman" w:cs="Times New Roman" w:eastAsia="Times New Roman" w:hAnsi="Times New Roman"/>
                <w:sz w:val="9"/>
                <w:szCs w:val="9"/>
                <w:color w:val="0000EE"/>
                <w:w w:val="84"/>
              </w:rPr>
              <w:t>th</w:t>
            </w:r>
          </w:p>
        </w:tc>
        <w:tc>
          <w:tcPr>
            <w:tcW w:w="9140" w:type="dxa"/>
            <w:vAlign w:val="bottom"/>
            <w:tcBorders>
              <w:top w:val="single" w:sz="8" w:color="auto"/>
              <w:bottom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color w:val="0000EE"/>
              </w:rPr>
              <w:t>Annual Industrials and Materials Conference slides</w:t>
            </w:r>
          </w:p>
        </w:tc>
        <w:tc>
          <w:tcPr>
            <w:tcW w:w="0" w:type="dxa"/>
            <w:vAlign w:val="bottom"/>
          </w:tcPr>
          <w:p>
            <w:pPr>
              <w:spacing w:after="0"/>
              <w:rPr>
                <w:sz w:val="1"/>
                <w:szCs w:val="1"/>
                <w:color w:val="auto"/>
              </w:rPr>
            </w:pPr>
          </w:p>
        </w:tc>
      </w:tr>
      <w:tr>
        <w:trPr>
          <w:trHeight w:val="20"/>
        </w:trPr>
        <w:tc>
          <w:tcPr>
            <w:tcW w:w="200" w:type="dxa"/>
            <w:vAlign w:val="bottom"/>
            <w:tcBorders>
              <w:bottom w:val="single" w:sz="8" w:color="0000EE"/>
            </w:tcBorders>
            <w:vMerge w:val="continue"/>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140" w:type="dxa"/>
            <w:vAlign w:val="bottom"/>
            <w:tcBorders>
              <w:bottom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1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802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O-I GLASS, INC.</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June 9, 2026</w:t>
            </w:r>
          </w:p>
        </w:tc>
        <w:tc>
          <w:tcPr>
            <w:tcW w:w="294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John A. Haudrich</w:t>
            </w:r>
          </w:p>
        </w:tc>
      </w:tr>
      <w:tr>
        <w:trPr>
          <w:trHeight w:val="122"/>
        </w:trPr>
        <w:tc>
          <w:tcPr>
            <w:tcW w:w="3280" w:type="dxa"/>
            <w:vAlign w:val="bottom"/>
          </w:tcPr>
          <w:p>
            <w:pPr>
              <w:spacing w:after="0"/>
              <w:rPr>
                <w:sz w:val="10"/>
                <w:szCs w:val="10"/>
                <w:color w:val="auto"/>
              </w:rPr>
            </w:pPr>
          </w:p>
        </w:tc>
        <w:tc>
          <w:tcPr>
            <w:tcW w:w="2940" w:type="dxa"/>
            <w:vAlign w:val="bottom"/>
          </w:tcPr>
          <w:p>
            <w:pPr>
              <w:ind w:left="238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John A. Haudrich</w:t>
            </w:r>
          </w:p>
        </w:tc>
      </w:tr>
      <w:tr>
        <w:trPr>
          <w:trHeight w:val="155"/>
        </w:trPr>
        <w:tc>
          <w:tcPr>
            <w:tcW w:w="3280" w:type="dxa"/>
            <w:vAlign w:val="bottom"/>
          </w:tcPr>
          <w:p>
            <w:pPr>
              <w:spacing w:after="0"/>
              <w:rPr>
                <w:sz w:val="13"/>
                <w:szCs w:val="13"/>
                <w:color w:val="auto"/>
              </w:rPr>
            </w:pPr>
          </w:p>
        </w:tc>
        <w:tc>
          <w:tcPr>
            <w:tcW w:w="294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r>
        <w:trPr>
          <w:trHeight w:val="450"/>
        </w:trPr>
        <w:tc>
          <w:tcPr>
            <w:tcW w:w="3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20320</wp:posOffset>
            </wp:positionV>
            <wp:extent cx="7087235" cy="4526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2026-06-09T15:42:08Z</dcterms:created>
  <dcterms:modified xsi:type="dcterms:W3CDTF">2026-06-09T15:42:08Z</dcterms:modified>
</cp:coreProperties>
</file>