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Garza y Garza Eugenio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MICHAEL OWENS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PERRYSBURG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O-I Glass, Inc. /DE/</w:t>
              </w:r>
            </w:hyperlink>
            <w:r>
              <w:rPr/>
              <w:t xml:space="preserve"> [ </w:t>
            </w:r>
            <w:r>
              <w:rPr>
                <w:rFonts w:ascii="Times;serif" w:hAnsi="Times;serif"/>
                <w:color w:val="0000FF"/>
                <w:sz w:val="24"/>
                <w:shd w:fill="FFFFFF" w:val="clear"/>
              </w:rPr>
              <w:t>OI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8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276"/>
        <w:gridCol w:w="906"/>
        <w:gridCol w:w="801"/>
        <w:gridCol w:w="891"/>
        <w:gridCol w:w="1101"/>
        <w:gridCol w:w="801"/>
        <w:gridCol w:w="1176"/>
        <w:gridCol w:w="831"/>
        <w:gridCol w:w="84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5,420.354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(Direct)</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5,420.354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15,965.7735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share of common stock. The shares of phantom stock become payable in cash, at the election of the reporting person, following the reporting person's separation from service as a director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Darrow A. Abrahams,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4345" TargetMode="External"/><Relationship Id="rId5" Type="http://schemas.openxmlformats.org/officeDocument/2006/relationships/hyperlink" Target="http://www.sec.gov/cgi-bin/browse-edgar?action=getcompany&amp;CIK=00008120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3325</Characters>
  <CharactersWithSpaces>3869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